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2389D" w:rsidRPr="002A5DF5" w:rsidRDefault="000A0572" w:rsidP="002A5DF5">
      <w:pPr>
        <w:pStyle w:val="Heading1"/>
        <w:spacing w:after="0"/>
        <w:ind w:right="0"/>
      </w:pPr>
      <w:r w:rsidRPr="002A5DF5">
        <w:t>202</w:t>
      </w:r>
      <w:r w:rsidR="00A507C5" w:rsidRPr="002A5DF5">
        <w:t>4</w:t>
      </w:r>
      <w:r w:rsidRPr="002A5DF5">
        <w:t xml:space="preserve"> Surplus Line Tax Calendar</w:t>
      </w:r>
    </w:p>
    <w:p w:rsidR="00E2389D" w:rsidRPr="002A5DF5" w:rsidRDefault="00E2389D" w:rsidP="002A5DF5">
      <w:pPr>
        <w:spacing w:before="240"/>
        <w:rPr>
          <w:b/>
        </w:rPr>
      </w:pPr>
      <w:bookmarkStart w:id="0" w:name="_Hlk143790930"/>
      <w:r w:rsidRPr="002A5DF5">
        <w:rPr>
          <w:b/>
        </w:rPr>
        <w:t>Notice to All Surplus Line Brokers Subject to Taxation Pursuant to California Insurance Code Section 1774 Et. Seq.</w:t>
      </w:r>
    </w:p>
    <w:bookmarkEnd w:id="0"/>
    <w:p w:rsidR="00DE77A9" w:rsidRPr="002A5DF5" w:rsidRDefault="00DE77A9" w:rsidP="002A5DF5">
      <w:pPr>
        <w:spacing w:before="240"/>
        <w:jc w:val="both"/>
      </w:pPr>
      <w:r w:rsidRPr="002A5DF5">
        <w:t>Brokers whose preceding year’s tax liability was twenty thousand doll</w:t>
      </w:r>
      <w:bookmarkStart w:id="1" w:name="_GoBack"/>
      <w:bookmarkEnd w:id="1"/>
      <w:r w:rsidRPr="002A5DF5">
        <w:t>ars ($20,000) or more are required to pay the tax on business transacted each month pursuant to California Insurance Code Section 1775.1. If required to pay monthly, and no tax is due for a certain month, a zero-tax voucher is still required to be filed.  Use the following schedule to file monthly tax payment vouchers and remit taxes due:</w:t>
      </w:r>
    </w:p>
    <w:p w:rsidR="00614058" w:rsidRPr="002A5DF5" w:rsidRDefault="00614058" w:rsidP="002A5DF5">
      <w:pPr>
        <w:jc w:val="both"/>
        <w:rPr>
          <w:b/>
        </w:rPr>
      </w:pPr>
    </w:p>
    <w:tbl>
      <w:tblPr>
        <w:tblStyle w:val="TableGrid"/>
        <w:tblW w:w="7223" w:type="dxa"/>
        <w:tblInd w:w="1975" w:type="dxa"/>
        <w:tblLook w:val="0460" w:firstRow="1" w:lastRow="1" w:firstColumn="0" w:lastColumn="0" w:noHBand="0" w:noVBand="1"/>
        <w:tblCaption w:val="Monthly payment due date"/>
      </w:tblPr>
      <w:tblGrid>
        <w:gridCol w:w="4073"/>
        <w:gridCol w:w="3150"/>
      </w:tblGrid>
      <w:tr w:rsidR="002A5DF5" w:rsidRPr="002A5DF5" w:rsidTr="00B922BB">
        <w:trPr>
          <w:cantSplit/>
          <w:trHeight w:val="310"/>
          <w:tblHeader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rPr>
                <w:b/>
                <w:bCs/>
              </w:rPr>
              <w:t xml:space="preserve">Business </w:t>
            </w:r>
            <w:r w:rsidR="00B922BB" w:rsidRPr="002A5DF5">
              <w:rPr>
                <w:b/>
                <w:bCs/>
              </w:rPr>
              <w:t xml:space="preserve">Transacted During </w:t>
            </w:r>
            <w:r w:rsidR="00614058" w:rsidRPr="002A5DF5">
              <w:rPr>
                <w:b/>
                <w:bCs/>
              </w:rPr>
              <w:t>t</w:t>
            </w:r>
            <w:r w:rsidR="00B922BB" w:rsidRPr="002A5DF5">
              <w:rPr>
                <w:b/>
                <w:bCs/>
              </w:rPr>
              <w:t>he Month of: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B922BB" w:rsidP="002A5DF5">
            <w:pPr>
              <w:jc w:val="center"/>
            </w:pPr>
            <w:r w:rsidRPr="002A5DF5">
              <w:rPr>
                <w:b/>
                <w:bCs/>
              </w:rPr>
              <w:t xml:space="preserve">Is Due </w:t>
            </w:r>
            <w:r w:rsidR="00614058" w:rsidRPr="002A5DF5">
              <w:rPr>
                <w:b/>
                <w:bCs/>
              </w:rPr>
              <w:t>o</w:t>
            </w:r>
            <w:r w:rsidRPr="002A5DF5">
              <w:rPr>
                <w:b/>
                <w:bCs/>
              </w:rPr>
              <w:t>n Or Before: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</w:tcPr>
          <w:p w:rsidR="00311934" w:rsidRPr="002A5DF5" w:rsidRDefault="00311934" w:rsidP="002A5DF5">
            <w:pPr>
              <w:jc w:val="center"/>
            </w:pPr>
            <w:r w:rsidRPr="002A5DF5">
              <w:t>January 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April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February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May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>March</w:t>
            </w:r>
            <w:r w:rsidR="00513393" w:rsidRPr="002A5DF5">
              <w:t xml:space="preserve">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June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April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July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May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August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June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September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July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October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August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November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September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December 1, </w:t>
            </w:r>
            <w:r w:rsidR="00FC6047" w:rsidRPr="002A5DF5">
              <w:t>202</w:t>
            </w:r>
            <w:r w:rsidR="00A507C5" w:rsidRPr="002A5DF5">
              <w:t>4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October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January 1, </w:t>
            </w:r>
            <w:r w:rsidR="00FC6047" w:rsidRPr="002A5DF5">
              <w:t>202</w:t>
            </w:r>
            <w:r w:rsidR="00A507C5" w:rsidRPr="002A5DF5">
              <w:t>5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November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February 1, </w:t>
            </w:r>
            <w:r w:rsidR="00FC6047" w:rsidRPr="002A5DF5">
              <w:t>202</w:t>
            </w:r>
            <w:r w:rsidR="00A507C5" w:rsidRPr="002A5DF5">
              <w:t>5</w:t>
            </w:r>
          </w:p>
        </w:tc>
      </w:tr>
      <w:tr w:rsidR="002A5DF5" w:rsidRPr="002A5DF5" w:rsidTr="00B922BB">
        <w:trPr>
          <w:trHeight w:val="85"/>
        </w:trPr>
        <w:tc>
          <w:tcPr>
            <w:tcW w:w="4073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December </w:t>
            </w:r>
            <w:r w:rsidR="00FC6047" w:rsidRPr="002A5DF5">
              <w:t>202</w:t>
            </w:r>
            <w:r w:rsidR="00A507C5" w:rsidRPr="002A5DF5">
              <w:t>4</w:t>
            </w:r>
          </w:p>
        </w:tc>
        <w:tc>
          <w:tcPr>
            <w:tcW w:w="3150" w:type="dxa"/>
            <w:noWrap/>
            <w:vAlign w:val="center"/>
            <w:hideMark/>
          </w:tcPr>
          <w:p w:rsidR="00311934" w:rsidRPr="002A5DF5" w:rsidRDefault="00311934" w:rsidP="002A5DF5">
            <w:pPr>
              <w:jc w:val="center"/>
            </w:pPr>
            <w:r w:rsidRPr="002A5DF5">
              <w:t xml:space="preserve">March 1, </w:t>
            </w:r>
            <w:r w:rsidR="00FC6047" w:rsidRPr="002A5DF5">
              <w:t>202</w:t>
            </w:r>
            <w:r w:rsidR="00A507C5" w:rsidRPr="002A5DF5">
              <w:t>5</w:t>
            </w:r>
          </w:p>
        </w:tc>
      </w:tr>
    </w:tbl>
    <w:p w:rsidR="0095677B" w:rsidRPr="002A5DF5" w:rsidRDefault="0095677B" w:rsidP="002A5DF5">
      <w:pPr>
        <w:spacing w:before="240" w:after="240"/>
        <w:jc w:val="both"/>
      </w:pPr>
      <w:r w:rsidRPr="002A5DF5">
        <w:rPr>
          <w:b/>
        </w:rPr>
        <w:t>The Tax Payment Vouchers are available on</w:t>
      </w:r>
      <w:r w:rsidRPr="002A5DF5">
        <w:t xml:space="preserve"> the </w:t>
      </w:r>
      <w:hyperlink r:id="rId8" w:history="1">
        <w:r w:rsidRPr="002A5DF5">
          <w:rPr>
            <w:rStyle w:val="Hyperlink"/>
            <w:color w:val="auto"/>
          </w:rPr>
          <w:t>California Department of Insurance Website</w:t>
        </w:r>
      </w:hyperlink>
      <w:r w:rsidRPr="002A5DF5">
        <w:t>.  Select “Agents &amp; Brokers”, then “Tax Forms and Instructions/Electronic Funds Transfer (EFT) Payments”, then select “</w:t>
      </w:r>
      <w:r w:rsidRPr="002A5DF5">
        <w:rPr>
          <w:b/>
        </w:rPr>
        <w:t>2023</w:t>
      </w:r>
      <w:r w:rsidRPr="002A5DF5">
        <w:t xml:space="preserve"> Tax Forms, Instructions, and Information” to access the tax return, instructions, and vouchers.</w:t>
      </w:r>
      <w:r w:rsidR="00A03E45" w:rsidRPr="002A5DF5">
        <w:t xml:space="preserve"> Or click here for CDI </w:t>
      </w:r>
      <w:hyperlink r:id="rId9" w:history="1">
        <w:r w:rsidR="00A03E45" w:rsidRPr="002A5DF5">
          <w:rPr>
            <w:rStyle w:val="Hyperlink"/>
            <w:color w:val="auto"/>
          </w:rPr>
          <w:t>Tax Forms, Instructions &amp; Information (ca.gov)</w:t>
        </w:r>
      </w:hyperlink>
      <w:r w:rsidR="00A03E45" w:rsidRPr="002A5DF5">
        <w:t>.</w:t>
      </w:r>
    </w:p>
    <w:p w:rsidR="0095677B" w:rsidRPr="002A5DF5" w:rsidRDefault="0095677B" w:rsidP="002A5DF5">
      <w:pPr>
        <w:pStyle w:val="Heading2"/>
      </w:pPr>
      <w:bookmarkStart w:id="2" w:name="_Hlk83048856"/>
      <w:r w:rsidRPr="002A5DF5">
        <w:t xml:space="preserve">The Surplus Line Broker’s Monthly Tax Payment Vouchers </w:t>
      </w:r>
      <w:r w:rsidRPr="002A5DF5">
        <w:rPr>
          <w:rStyle w:val="Emphasis"/>
        </w:rPr>
        <w:t>must</w:t>
      </w:r>
      <w:r w:rsidRPr="002A5DF5">
        <w:t xml:space="preserve"> be returned to one of the following addresses:</w:t>
      </w:r>
    </w:p>
    <w:p w:rsidR="0095677B" w:rsidRPr="002A5DF5" w:rsidRDefault="0095677B" w:rsidP="002A5DF5">
      <w:pPr>
        <w:pStyle w:val="ListParagraph"/>
        <w:numPr>
          <w:ilvl w:val="0"/>
          <w:numId w:val="5"/>
        </w:numPr>
        <w:spacing w:before="240" w:after="240"/>
        <w:jc w:val="both"/>
        <w:rPr>
          <w:sz w:val="20"/>
          <w:szCs w:val="20"/>
        </w:rPr>
      </w:pPr>
      <w:r w:rsidRPr="002A5DF5">
        <w:rPr>
          <w:b/>
          <w:sz w:val="20"/>
          <w:szCs w:val="20"/>
        </w:rPr>
        <w:t>If Monthly Tax Payments are “</w:t>
      </w:r>
      <w:r w:rsidRPr="002A5DF5">
        <w:rPr>
          <w:rStyle w:val="Emphasis"/>
          <w:b/>
          <w:i w:val="0"/>
          <w:sz w:val="20"/>
          <w:szCs w:val="20"/>
        </w:rPr>
        <w:t xml:space="preserve">Paid by Check”: </w:t>
      </w:r>
      <w:r w:rsidRPr="002A5DF5">
        <w:rPr>
          <w:rStyle w:val="Emphasis"/>
          <w:b/>
          <w:i w:val="0"/>
          <w:sz w:val="20"/>
          <w:szCs w:val="20"/>
          <w:highlight w:val="yellow"/>
        </w:rPr>
        <w:t>M</w:t>
      </w:r>
      <w:r w:rsidRPr="002A5DF5">
        <w:rPr>
          <w:b/>
          <w:sz w:val="20"/>
          <w:szCs w:val="20"/>
          <w:highlight w:val="yellow"/>
        </w:rPr>
        <w:t>ail the Check payable to “California State Controller's Office”</w:t>
      </w:r>
      <w:r w:rsidRPr="002A5DF5">
        <w:rPr>
          <w:sz w:val="20"/>
          <w:szCs w:val="20"/>
        </w:rPr>
        <w:t xml:space="preserve"> and the monthly Tax Payment Voucher to:</w:t>
      </w:r>
    </w:p>
    <w:p w:rsidR="0095677B" w:rsidRPr="002A5DF5" w:rsidRDefault="0095677B" w:rsidP="002A5DF5">
      <w:pPr>
        <w:ind w:left="1440"/>
        <w:jc w:val="both"/>
      </w:pPr>
      <w:r w:rsidRPr="002A5DF5">
        <w:rPr>
          <w:snapToGrid w:val="0"/>
        </w:rPr>
        <w:t>California Department of Insurance</w:t>
      </w:r>
    </w:p>
    <w:p w:rsidR="0095677B" w:rsidRPr="002A5DF5" w:rsidRDefault="0095677B" w:rsidP="002A5DF5">
      <w:pPr>
        <w:ind w:left="1440"/>
        <w:jc w:val="both"/>
      </w:pPr>
      <w:r w:rsidRPr="002A5DF5">
        <w:t>Tax Accounting Unit</w:t>
      </w:r>
    </w:p>
    <w:p w:rsidR="0095677B" w:rsidRPr="002A5DF5" w:rsidRDefault="0095677B" w:rsidP="002A5DF5">
      <w:pPr>
        <w:ind w:left="1440"/>
        <w:jc w:val="both"/>
      </w:pPr>
      <w:r w:rsidRPr="002A5DF5">
        <w:t>P.O. Box 1918</w:t>
      </w:r>
    </w:p>
    <w:p w:rsidR="0095677B" w:rsidRPr="002A5DF5" w:rsidRDefault="0095677B" w:rsidP="002A5DF5">
      <w:pPr>
        <w:spacing w:after="240"/>
        <w:ind w:left="1440"/>
        <w:jc w:val="both"/>
      </w:pPr>
      <w:r w:rsidRPr="002A5DF5">
        <w:t>Sacramento, CA  95812-1918</w:t>
      </w:r>
    </w:p>
    <w:p w:rsidR="0095677B" w:rsidRPr="002A5DF5" w:rsidRDefault="0095677B" w:rsidP="002A5DF5">
      <w:pPr>
        <w:pStyle w:val="ListParagraph"/>
        <w:numPr>
          <w:ilvl w:val="0"/>
          <w:numId w:val="5"/>
        </w:numPr>
        <w:jc w:val="both"/>
        <w:rPr>
          <w:sz w:val="20"/>
          <w:szCs w:val="20"/>
        </w:rPr>
      </w:pPr>
      <w:r w:rsidRPr="002A5DF5">
        <w:rPr>
          <w:b/>
          <w:sz w:val="20"/>
          <w:szCs w:val="20"/>
        </w:rPr>
        <w:t xml:space="preserve">If Monthly Tax Payments are “Paid by EFT” or have a “Net Amount Due </w:t>
      </w:r>
      <w:r w:rsidR="002A5DF5">
        <w:rPr>
          <w:b/>
          <w:sz w:val="20"/>
          <w:szCs w:val="20"/>
        </w:rPr>
        <w:t>o</w:t>
      </w:r>
      <w:r w:rsidRPr="002A5DF5">
        <w:rPr>
          <w:b/>
          <w:sz w:val="20"/>
          <w:szCs w:val="20"/>
        </w:rPr>
        <w:t xml:space="preserve">f </w:t>
      </w:r>
      <w:r w:rsidR="002A5DF5">
        <w:rPr>
          <w:b/>
          <w:sz w:val="20"/>
          <w:szCs w:val="20"/>
        </w:rPr>
        <w:t>‘</w:t>
      </w:r>
      <w:r w:rsidRPr="002A5DF5">
        <w:rPr>
          <w:b/>
          <w:sz w:val="20"/>
          <w:szCs w:val="20"/>
        </w:rPr>
        <w:t>0</w:t>
      </w:r>
      <w:r w:rsidR="002A5DF5">
        <w:rPr>
          <w:b/>
          <w:sz w:val="20"/>
          <w:szCs w:val="20"/>
        </w:rPr>
        <w:t>’</w:t>
      </w:r>
      <w:r w:rsidRPr="002A5DF5">
        <w:rPr>
          <w:b/>
          <w:sz w:val="20"/>
          <w:szCs w:val="20"/>
        </w:rPr>
        <w:t>”:</w:t>
      </w:r>
      <w:r w:rsidRPr="002A5DF5">
        <w:rPr>
          <w:sz w:val="20"/>
          <w:szCs w:val="20"/>
        </w:rPr>
        <w:t xml:space="preserve"> </w:t>
      </w:r>
      <w:bookmarkStart w:id="3" w:name="_Hlk83047769"/>
      <w:bookmarkStart w:id="4" w:name="_Hlk83047699"/>
    </w:p>
    <w:p w:rsidR="0095677B" w:rsidRPr="002A5DF5" w:rsidRDefault="0095677B" w:rsidP="002A5DF5">
      <w:pPr>
        <w:pStyle w:val="ListParagraph"/>
        <w:jc w:val="both"/>
        <w:rPr>
          <w:sz w:val="20"/>
          <w:szCs w:val="20"/>
        </w:rPr>
      </w:pPr>
    </w:p>
    <w:p w:rsidR="0095677B" w:rsidRPr="002A5DF5" w:rsidRDefault="0095677B" w:rsidP="002A5DF5">
      <w:pPr>
        <w:pStyle w:val="ListParagraph"/>
        <w:jc w:val="both"/>
      </w:pPr>
      <w:r w:rsidRPr="002A5DF5">
        <w:rPr>
          <w:sz w:val="20"/>
          <w:szCs w:val="20"/>
        </w:rPr>
        <w:t xml:space="preserve">Submit a scanned copy of the physically signed </w:t>
      </w:r>
      <w:bookmarkEnd w:id="3"/>
      <w:r w:rsidRPr="002A5DF5">
        <w:rPr>
          <w:sz w:val="20"/>
          <w:szCs w:val="20"/>
        </w:rPr>
        <w:t xml:space="preserve">monthly Tax Payment Voucher </w:t>
      </w:r>
      <w:bookmarkStart w:id="5" w:name="_Hlk83047786"/>
      <w:r w:rsidRPr="002A5DF5">
        <w:rPr>
          <w:b/>
          <w:sz w:val="20"/>
          <w:szCs w:val="20"/>
        </w:rPr>
        <w:t xml:space="preserve">via e-mail to </w:t>
      </w:r>
      <w:bookmarkStart w:id="6" w:name="_Hlk83047952"/>
      <w:r w:rsidRPr="002A5DF5">
        <w:fldChar w:fldCharType="begin"/>
      </w:r>
      <w:r w:rsidRPr="002A5DF5">
        <w:rPr>
          <w:b/>
          <w:sz w:val="20"/>
          <w:szCs w:val="20"/>
        </w:rPr>
        <w:instrText xml:space="preserve"> HYPERLINK "mailto:PremiumTaxFiling@insurance.ca.gov" </w:instrText>
      </w:r>
      <w:r w:rsidRPr="002A5DF5">
        <w:fldChar w:fldCharType="separate"/>
      </w:r>
      <w:r w:rsidRPr="002A5DF5">
        <w:rPr>
          <w:rStyle w:val="Hyperlink"/>
          <w:b/>
          <w:color w:val="auto"/>
          <w:sz w:val="20"/>
          <w:szCs w:val="20"/>
        </w:rPr>
        <w:t>PremiumTaxFiling@insurance.ca.gov</w:t>
      </w:r>
      <w:r w:rsidRPr="002A5DF5">
        <w:rPr>
          <w:rStyle w:val="Hyperlink"/>
          <w:b/>
          <w:color w:val="auto"/>
          <w:sz w:val="20"/>
          <w:szCs w:val="20"/>
        </w:rPr>
        <w:fldChar w:fldCharType="end"/>
      </w:r>
      <w:bookmarkEnd w:id="4"/>
      <w:bookmarkEnd w:id="5"/>
      <w:bookmarkEnd w:id="6"/>
      <w:r w:rsidRPr="002A5DF5">
        <w:rPr>
          <w:rStyle w:val="Hyperlink"/>
          <w:b/>
          <w:color w:val="auto"/>
          <w:sz w:val="20"/>
          <w:szCs w:val="20"/>
        </w:rPr>
        <w:t>.</w:t>
      </w:r>
    </w:p>
    <w:p w:rsidR="0095677B" w:rsidRPr="002A5DF5" w:rsidRDefault="0095677B" w:rsidP="002A5DF5">
      <w:pPr>
        <w:ind w:left="1440"/>
        <w:jc w:val="both"/>
      </w:pPr>
    </w:p>
    <w:p w:rsidR="0095677B" w:rsidRPr="002A5DF5" w:rsidRDefault="0095677B" w:rsidP="002A5DF5">
      <w:pPr>
        <w:pStyle w:val="Heading1"/>
      </w:pPr>
      <w:bookmarkStart w:id="7" w:name="_Hlk143790998"/>
      <w:bookmarkEnd w:id="2"/>
      <w:r w:rsidRPr="002A5DF5">
        <w:t>Important Information</w:t>
      </w:r>
    </w:p>
    <w:bookmarkEnd w:id="7"/>
    <w:p w:rsidR="0095677B" w:rsidRPr="002A5DF5" w:rsidRDefault="0095677B" w:rsidP="002A5DF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A5DF5">
        <w:rPr>
          <w:b/>
          <w:sz w:val="20"/>
          <w:szCs w:val="20"/>
        </w:rPr>
        <w:t>Mandatory Participation</w:t>
      </w:r>
      <w:r w:rsidRPr="002A5DF5">
        <w:rPr>
          <w:sz w:val="20"/>
          <w:szCs w:val="20"/>
        </w:rPr>
        <w:t>: Commencing January 1, 1995, entities subject to insurance tax, whose annual tax payments is more than twenty thousand dollars ($20,000), are required to participate in the Electronic Funds Transfer (EFT) program.</w:t>
      </w:r>
    </w:p>
    <w:p w:rsidR="0095677B" w:rsidRPr="002A5DF5" w:rsidRDefault="0095677B" w:rsidP="002A5DF5">
      <w:pPr>
        <w:pStyle w:val="ListParagraph"/>
        <w:numPr>
          <w:ilvl w:val="0"/>
          <w:numId w:val="6"/>
        </w:numPr>
        <w:jc w:val="both"/>
        <w:rPr>
          <w:sz w:val="20"/>
          <w:szCs w:val="20"/>
        </w:rPr>
      </w:pPr>
      <w:r w:rsidRPr="002A5DF5">
        <w:rPr>
          <w:sz w:val="20"/>
          <w:szCs w:val="20"/>
        </w:rPr>
        <w:t xml:space="preserve">Those required to pay or have voluntarily elected to pay by Electronic Funds Transfer (EFT) must use the EFT method of payment and are </w:t>
      </w:r>
      <w:r w:rsidRPr="002A5DF5">
        <w:rPr>
          <w:b/>
          <w:sz w:val="20"/>
          <w:szCs w:val="20"/>
        </w:rPr>
        <w:t>still required to submit a monthly voucher (FS-007).</w:t>
      </w:r>
    </w:p>
    <w:p w:rsidR="0095677B" w:rsidRPr="002A5DF5" w:rsidRDefault="0095677B" w:rsidP="002A5DF5">
      <w:pPr>
        <w:pStyle w:val="ListParagraph"/>
        <w:numPr>
          <w:ilvl w:val="0"/>
          <w:numId w:val="6"/>
        </w:numPr>
        <w:spacing w:after="240"/>
        <w:jc w:val="both"/>
        <w:rPr>
          <w:sz w:val="20"/>
          <w:szCs w:val="20"/>
        </w:rPr>
      </w:pPr>
      <w:r w:rsidRPr="002A5DF5">
        <w:rPr>
          <w:sz w:val="20"/>
          <w:szCs w:val="20"/>
        </w:rPr>
        <w:t>If paying by check, include the Surplus Line License Number on the check.</w:t>
      </w:r>
    </w:p>
    <w:p w:rsidR="0095677B" w:rsidRPr="002A5DF5" w:rsidRDefault="0095677B" w:rsidP="002A5DF5">
      <w:pPr>
        <w:spacing w:after="240"/>
        <w:jc w:val="both"/>
      </w:pPr>
      <w:r w:rsidRPr="002A5DF5">
        <w:rPr>
          <w:b/>
        </w:rPr>
        <w:t>For questions regarding the Electronic Funds Transfer (EFT) Program,</w:t>
      </w:r>
      <w:r w:rsidRPr="002A5DF5">
        <w:t xml:space="preserve"> contact the California Department of Insurance Tax Accounting/EFT Unit at (916) 492-3288, or via e-mail to </w:t>
      </w:r>
      <w:hyperlink r:id="rId10" w:history="1">
        <w:r w:rsidRPr="002A5DF5">
          <w:rPr>
            <w:rStyle w:val="Hyperlink"/>
            <w:color w:val="auto"/>
          </w:rPr>
          <w:t>EFT@insurance.ca.gov</w:t>
        </w:r>
      </w:hyperlink>
      <w:r w:rsidRPr="002A5DF5">
        <w:t>.</w:t>
      </w:r>
    </w:p>
    <w:p w:rsidR="001F2A21" w:rsidRPr="002A5DF5" w:rsidRDefault="001F2A21" w:rsidP="002A5DF5">
      <w:pPr>
        <w:ind w:left="720"/>
        <w:jc w:val="both"/>
      </w:pPr>
    </w:p>
    <w:sectPr w:rsidR="001F2A21" w:rsidRPr="002A5DF5" w:rsidSect="00E14227">
      <w:headerReference w:type="default" r:id="rId11"/>
      <w:pgSz w:w="12240" w:h="15840" w:code="1"/>
      <w:pgMar w:top="1080" w:right="720" w:bottom="540" w:left="720" w:header="36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70209" w:rsidRDefault="00E70209" w:rsidP="00E14227">
      <w:r>
        <w:separator/>
      </w:r>
    </w:p>
  </w:endnote>
  <w:endnote w:type="continuationSeparator" w:id="0">
    <w:p w:rsidR="00E70209" w:rsidRDefault="00E70209" w:rsidP="00E142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70209" w:rsidRDefault="00E70209" w:rsidP="00E14227">
      <w:r>
        <w:separator/>
      </w:r>
    </w:p>
  </w:footnote>
  <w:footnote w:type="continuationSeparator" w:id="0">
    <w:p w:rsidR="00E70209" w:rsidRDefault="00E70209" w:rsidP="00E142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95C26" w:rsidRPr="002A5DF5" w:rsidRDefault="00395C26" w:rsidP="00395C26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</w:rPr>
    </w:pPr>
    <w:bookmarkStart w:id="8" w:name="_Hlk112748056"/>
    <w:bookmarkStart w:id="9" w:name="_Hlk112748057"/>
    <w:r w:rsidRPr="002A5DF5">
      <w:rPr>
        <w:rFonts w:ascii="Arial" w:hAnsi="Arial" w:cs="Arial"/>
      </w:rPr>
      <w:t>State of California</w:t>
    </w:r>
    <w:r w:rsidRPr="002A5DF5">
      <w:rPr>
        <w:rFonts w:ascii="Arial" w:hAnsi="Arial" w:cs="Arial"/>
      </w:rPr>
      <w:tab/>
      <w:t xml:space="preserve"> Department of Insurance</w:t>
    </w:r>
  </w:p>
  <w:p w:rsidR="00395C26" w:rsidRPr="002A5DF5" w:rsidRDefault="00395C26" w:rsidP="00AE0263">
    <w:pPr>
      <w:pStyle w:val="Header"/>
      <w:tabs>
        <w:tab w:val="clear" w:pos="4680"/>
        <w:tab w:val="clear" w:pos="9360"/>
        <w:tab w:val="right" w:pos="10800"/>
      </w:tabs>
      <w:rPr>
        <w:rFonts w:ascii="Arial" w:hAnsi="Arial" w:cs="Arial"/>
        <w:b/>
      </w:rPr>
    </w:pPr>
    <w:r w:rsidRPr="002A5DF5">
      <w:rPr>
        <w:rFonts w:ascii="Arial" w:hAnsi="Arial" w:cs="Arial"/>
        <w:b/>
      </w:rPr>
      <w:t>Surplus Line Tax Calendar</w:t>
    </w:r>
    <w:r w:rsidR="00AE0263" w:rsidRPr="002A5DF5">
      <w:rPr>
        <w:rFonts w:ascii="Arial" w:hAnsi="Arial" w:cs="Arial"/>
        <w:b/>
      </w:rPr>
      <w:t xml:space="preserve"> </w:t>
    </w:r>
    <w:r w:rsidR="00AE0263" w:rsidRPr="002A5DF5">
      <w:rPr>
        <w:rFonts w:ascii="Arial" w:hAnsi="Arial" w:cs="Arial"/>
      </w:rPr>
      <w:t>(R</w:t>
    </w:r>
    <w:r w:rsidR="00410C78">
      <w:rPr>
        <w:rFonts w:ascii="Arial" w:hAnsi="Arial" w:cs="Arial"/>
      </w:rPr>
      <w:t>evised</w:t>
    </w:r>
    <w:r w:rsidR="00AE0263" w:rsidRPr="002A5DF5">
      <w:rPr>
        <w:rFonts w:ascii="Arial" w:hAnsi="Arial" w:cs="Arial"/>
      </w:rPr>
      <w:t xml:space="preserve"> </w:t>
    </w:r>
    <w:r w:rsidR="002A5DF5" w:rsidRPr="002A5DF5">
      <w:rPr>
        <w:rFonts w:ascii="Arial" w:hAnsi="Arial" w:cs="Arial"/>
      </w:rPr>
      <w:t>11/01</w:t>
    </w:r>
    <w:r w:rsidR="006335CA" w:rsidRPr="002A5DF5">
      <w:rPr>
        <w:rFonts w:ascii="Arial" w:hAnsi="Arial" w:cs="Arial"/>
      </w:rPr>
      <w:t>/2023</w:t>
    </w:r>
    <w:r w:rsidR="00AE0263" w:rsidRPr="002A5DF5">
      <w:t>)</w:t>
    </w:r>
    <w:r w:rsidR="00AE0263" w:rsidRPr="002A5DF5">
      <w:rPr>
        <w:rFonts w:ascii="Arial" w:hAnsi="Arial" w:cs="Arial"/>
        <w:b/>
      </w:rPr>
      <w:t xml:space="preserve"> </w:t>
    </w:r>
    <w:r w:rsidR="00AE0263" w:rsidRPr="002A5DF5">
      <w:rPr>
        <w:rFonts w:ascii="Arial" w:hAnsi="Arial" w:cs="Arial"/>
        <w:b/>
      </w:rPr>
      <w:tab/>
      <w:t>For Calendar Year 202</w:t>
    </w:r>
    <w:bookmarkEnd w:id="8"/>
    <w:bookmarkEnd w:id="9"/>
    <w:r w:rsidR="00B2162E" w:rsidRPr="002A5DF5">
      <w:rPr>
        <w:rFonts w:ascii="Arial" w:hAnsi="Arial" w:cs="Arial"/>
        <w:b/>
      </w:rPr>
      <w:t>3</w:t>
    </w:r>
  </w:p>
  <w:p w:rsidR="00E14227" w:rsidRPr="002A5DF5" w:rsidRDefault="00E14227" w:rsidP="00395C2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B527A20"/>
    <w:multiLevelType w:val="hybridMultilevel"/>
    <w:tmpl w:val="1AC0C182"/>
    <w:lvl w:ilvl="0" w:tplc="5180EADA">
      <w:start w:val="1"/>
      <w:numFmt w:val="lowerLetter"/>
      <w:lvlText w:val="(%1)"/>
      <w:lvlJc w:val="left"/>
      <w:pPr>
        <w:ind w:left="720" w:hanging="360"/>
      </w:pPr>
      <w:rPr>
        <w:rFonts w:hint="default"/>
        <w:sz w:val="20"/>
        <w:szCs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A835FF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42FE5975"/>
    <w:multiLevelType w:val="singleLevel"/>
    <w:tmpl w:val="04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" w15:restartNumberingAfterBreak="0">
    <w:nsid w:val="477060FD"/>
    <w:multiLevelType w:val="hybridMultilevel"/>
    <w:tmpl w:val="DCD6BBF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1"/>
  </w:num>
  <w:num w:numId="5">
    <w:abstractNumId w:val="0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F2A21"/>
    <w:rsid w:val="0001099F"/>
    <w:rsid w:val="0005607F"/>
    <w:rsid w:val="00073AA3"/>
    <w:rsid w:val="00084A06"/>
    <w:rsid w:val="000A0572"/>
    <w:rsid w:val="000B7009"/>
    <w:rsid w:val="001169C1"/>
    <w:rsid w:val="00147880"/>
    <w:rsid w:val="00152D5E"/>
    <w:rsid w:val="001677F6"/>
    <w:rsid w:val="001C5CD9"/>
    <w:rsid w:val="001C7CED"/>
    <w:rsid w:val="001D1452"/>
    <w:rsid w:val="001D3DA3"/>
    <w:rsid w:val="001D644E"/>
    <w:rsid w:val="001F2A21"/>
    <w:rsid w:val="002506D2"/>
    <w:rsid w:val="002515B2"/>
    <w:rsid w:val="00255937"/>
    <w:rsid w:val="00287F59"/>
    <w:rsid w:val="002A5DF5"/>
    <w:rsid w:val="002B248F"/>
    <w:rsid w:val="002C5479"/>
    <w:rsid w:val="002E6A5F"/>
    <w:rsid w:val="003053CD"/>
    <w:rsid w:val="00305E7B"/>
    <w:rsid w:val="00311934"/>
    <w:rsid w:val="00324AFA"/>
    <w:rsid w:val="00345143"/>
    <w:rsid w:val="00361E47"/>
    <w:rsid w:val="003910D7"/>
    <w:rsid w:val="00395C26"/>
    <w:rsid w:val="00396C41"/>
    <w:rsid w:val="003A4028"/>
    <w:rsid w:val="003C074A"/>
    <w:rsid w:val="003F5555"/>
    <w:rsid w:val="00410C78"/>
    <w:rsid w:val="00425CF0"/>
    <w:rsid w:val="00430B81"/>
    <w:rsid w:val="00495E0B"/>
    <w:rsid w:val="00504217"/>
    <w:rsid w:val="00513393"/>
    <w:rsid w:val="00592209"/>
    <w:rsid w:val="00594BE8"/>
    <w:rsid w:val="005C013B"/>
    <w:rsid w:val="005C1AAD"/>
    <w:rsid w:val="00614058"/>
    <w:rsid w:val="00620F1A"/>
    <w:rsid w:val="006335CA"/>
    <w:rsid w:val="0063397F"/>
    <w:rsid w:val="00686E3D"/>
    <w:rsid w:val="006B06C1"/>
    <w:rsid w:val="006E4845"/>
    <w:rsid w:val="00722366"/>
    <w:rsid w:val="00731A52"/>
    <w:rsid w:val="00781CDE"/>
    <w:rsid w:val="007C261C"/>
    <w:rsid w:val="007D1058"/>
    <w:rsid w:val="007E15BA"/>
    <w:rsid w:val="007E3BA6"/>
    <w:rsid w:val="008E4614"/>
    <w:rsid w:val="00907B3D"/>
    <w:rsid w:val="0095677B"/>
    <w:rsid w:val="0096039D"/>
    <w:rsid w:val="00983F59"/>
    <w:rsid w:val="009F61E4"/>
    <w:rsid w:val="00A03E45"/>
    <w:rsid w:val="00A12C0B"/>
    <w:rsid w:val="00A3420B"/>
    <w:rsid w:val="00A427E1"/>
    <w:rsid w:val="00A45D39"/>
    <w:rsid w:val="00A507C5"/>
    <w:rsid w:val="00A56C0E"/>
    <w:rsid w:val="00A852ED"/>
    <w:rsid w:val="00AA1EB9"/>
    <w:rsid w:val="00AC1ECE"/>
    <w:rsid w:val="00AD168C"/>
    <w:rsid w:val="00AE0263"/>
    <w:rsid w:val="00B07684"/>
    <w:rsid w:val="00B11298"/>
    <w:rsid w:val="00B15A10"/>
    <w:rsid w:val="00B2162E"/>
    <w:rsid w:val="00B460D2"/>
    <w:rsid w:val="00B636C9"/>
    <w:rsid w:val="00B922BB"/>
    <w:rsid w:val="00BE186D"/>
    <w:rsid w:val="00C011DC"/>
    <w:rsid w:val="00C65BCB"/>
    <w:rsid w:val="00C72D57"/>
    <w:rsid w:val="00C8778B"/>
    <w:rsid w:val="00CA0ECA"/>
    <w:rsid w:val="00CB42FE"/>
    <w:rsid w:val="00CB6E25"/>
    <w:rsid w:val="00D31352"/>
    <w:rsid w:val="00D729C5"/>
    <w:rsid w:val="00D73639"/>
    <w:rsid w:val="00DE77A9"/>
    <w:rsid w:val="00DF3E02"/>
    <w:rsid w:val="00DF5206"/>
    <w:rsid w:val="00E1032E"/>
    <w:rsid w:val="00E14227"/>
    <w:rsid w:val="00E20DDA"/>
    <w:rsid w:val="00E2389D"/>
    <w:rsid w:val="00E40AC3"/>
    <w:rsid w:val="00E63EBD"/>
    <w:rsid w:val="00E70209"/>
    <w:rsid w:val="00E7682A"/>
    <w:rsid w:val="00E8381E"/>
    <w:rsid w:val="00E853DA"/>
    <w:rsid w:val="00E96F52"/>
    <w:rsid w:val="00EB2745"/>
    <w:rsid w:val="00EC2F96"/>
    <w:rsid w:val="00F3381D"/>
    <w:rsid w:val="00FB4578"/>
    <w:rsid w:val="00FC6047"/>
    <w:rsid w:val="00FD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9EFDB59"/>
  <w15:docId w15:val="{B50F6D81-E0F8-4B08-B8D7-B256F88B37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0A0572"/>
    <w:pPr>
      <w:keepNext/>
      <w:spacing w:after="240"/>
      <w:ind w:right="783"/>
      <w:jc w:val="center"/>
      <w:outlineLvl w:val="0"/>
    </w:pPr>
    <w:rPr>
      <w:b/>
      <w:sz w:val="24"/>
    </w:rPr>
  </w:style>
  <w:style w:type="paragraph" w:styleId="Heading2">
    <w:name w:val="heading 2"/>
    <w:basedOn w:val="Normal"/>
    <w:next w:val="Normal"/>
    <w:link w:val="Heading2Char"/>
    <w:qFormat/>
    <w:rsid w:val="000A0572"/>
    <w:pPr>
      <w:spacing w:before="240" w:after="240"/>
      <w:jc w:val="both"/>
      <w:outlineLvl w:val="1"/>
    </w:pPr>
    <w:rPr>
      <w:b/>
    </w:rPr>
  </w:style>
  <w:style w:type="paragraph" w:styleId="Heading3">
    <w:name w:val="heading 3"/>
    <w:basedOn w:val="Normal"/>
    <w:next w:val="Normal"/>
    <w:qFormat/>
    <w:pPr>
      <w:keepNext/>
      <w:jc w:val="center"/>
      <w:outlineLvl w:val="2"/>
    </w:pPr>
    <w:rPr>
      <w:rFonts w:ascii="Arial" w:hAnsi="Arial"/>
      <w:b/>
    </w:rPr>
  </w:style>
  <w:style w:type="paragraph" w:styleId="Heading5">
    <w:name w:val="heading 5"/>
    <w:basedOn w:val="Normal"/>
    <w:next w:val="Normal"/>
    <w:qFormat/>
    <w:pPr>
      <w:keepNext/>
      <w:ind w:left="720" w:right="855"/>
      <w:jc w:val="center"/>
      <w:outlineLvl w:val="4"/>
    </w:pPr>
    <w:rPr>
      <w:rFonts w:ascii="Arial" w:hAnsi="Arial"/>
      <w:sz w:val="32"/>
    </w:rPr>
  </w:style>
  <w:style w:type="paragraph" w:styleId="Heading7">
    <w:name w:val="heading 7"/>
    <w:basedOn w:val="Normal"/>
    <w:next w:val="Normal"/>
    <w:qFormat/>
    <w:pPr>
      <w:keepNext/>
      <w:ind w:left="-108" w:right="-108"/>
      <w:jc w:val="center"/>
      <w:outlineLvl w:val="6"/>
    </w:pPr>
    <w:rPr>
      <w:rFonts w:ascii="Arial" w:hAnsi="Arial"/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character" w:styleId="FollowedHyperlink">
    <w:name w:val="FollowedHyperlink"/>
    <w:rPr>
      <w:color w:val="800080"/>
      <w:u w:val="single"/>
    </w:rPr>
  </w:style>
  <w:style w:type="paragraph" w:styleId="Title">
    <w:name w:val="Title"/>
    <w:basedOn w:val="Normal"/>
    <w:qFormat/>
    <w:pPr>
      <w:jc w:val="center"/>
    </w:pPr>
    <w:rPr>
      <w:rFonts w:ascii="Arial" w:hAnsi="Arial"/>
      <w:sz w:val="32"/>
    </w:rPr>
  </w:style>
  <w:style w:type="paragraph" w:styleId="BodyText">
    <w:name w:val="Body Text"/>
    <w:basedOn w:val="Normal"/>
    <w:pPr>
      <w:ind w:right="90"/>
      <w:jc w:val="both"/>
    </w:pPr>
    <w:rPr>
      <w:rFonts w:ascii="Arial" w:hAnsi="Arial"/>
    </w:rPr>
  </w:style>
  <w:style w:type="paragraph" w:styleId="BodyTextIndent">
    <w:name w:val="Body Text Indent"/>
    <w:basedOn w:val="Normal"/>
    <w:pPr>
      <w:ind w:left="-51"/>
      <w:jc w:val="both"/>
    </w:pPr>
    <w:rPr>
      <w:rFonts w:ascii="Arial" w:hAnsi="Arial"/>
      <w:b/>
    </w:rPr>
  </w:style>
  <w:style w:type="paragraph" w:styleId="BodyText2">
    <w:name w:val="Body Text 2"/>
    <w:basedOn w:val="Normal"/>
    <w:pPr>
      <w:ind w:right="855"/>
    </w:pPr>
    <w:rPr>
      <w:rFonts w:ascii="Arial" w:hAnsi="Arial"/>
    </w:rPr>
  </w:style>
  <w:style w:type="paragraph" w:styleId="BodyText3">
    <w:name w:val="Body Text 3"/>
    <w:basedOn w:val="Normal"/>
    <w:pPr>
      <w:ind w:right="177"/>
      <w:jc w:val="both"/>
    </w:pPr>
    <w:rPr>
      <w:rFonts w:ascii="Arial" w:hAnsi="Arial"/>
      <w:b/>
    </w:rPr>
  </w:style>
  <w:style w:type="paragraph" w:styleId="BalloonText">
    <w:name w:val="Balloon Text"/>
    <w:basedOn w:val="Normal"/>
    <w:link w:val="BalloonTextChar"/>
    <w:rsid w:val="00CB6E2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CB6E25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311934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11934"/>
    <w:pPr>
      <w:ind w:left="720"/>
      <w:contextualSpacing/>
    </w:pPr>
    <w:rPr>
      <w:sz w:val="24"/>
      <w:szCs w:val="24"/>
    </w:rPr>
  </w:style>
  <w:style w:type="character" w:styleId="Strong">
    <w:name w:val="Strong"/>
    <w:basedOn w:val="DefaultParagraphFont"/>
    <w:qFormat/>
    <w:rsid w:val="00311934"/>
    <w:rPr>
      <w:b/>
      <w:bCs/>
    </w:rPr>
  </w:style>
  <w:style w:type="character" w:styleId="Emphasis">
    <w:name w:val="Emphasis"/>
    <w:basedOn w:val="DefaultParagraphFont"/>
    <w:qFormat/>
    <w:rsid w:val="00430B81"/>
    <w:rPr>
      <w:i/>
      <w:iCs/>
    </w:rPr>
  </w:style>
  <w:style w:type="paragraph" w:styleId="Header">
    <w:name w:val="header"/>
    <w:basedOn w:val="Normal"/>
    <w:link w:val="HeaderChar"/>
    <w:unhideWhenUsed/>
    <w:rsid w:val="00E1422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E14227"/>
  </w:style>
  <w:style w:type="paragraph" w:styleId="Footer">
    <w:name w:val="footer"/>
    <w:basedOn w:val="Normal"/>
    <w:link w:val="FooterChar"/>
    <w:unhideWhenUsed/>
    <w:rsid w:val="00E14227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E14227"/>
  </w:style>
  <w:style w:type="character" w:customStyle="1" w:styleId="Heading1Char">
    <w:name w:val="Heading 1 Char"/>
    <w:basedOn w:val="DefaultParagraphFont"/>
    <w:link w:val="Heading1"/>
    <w:rsid w:val="0095677B"/>
    <w:rPr>
      <w:b/>
      <w:sz w:val="24"/>
    </w:rPr>
  </w:style>
  <w:style w:type="character" w:customStyle="1" w:styleId="Heading2Char">
    <w:name w:val="Heading 2 Char"/>
    <w:basedOn w:val="DefaultParagraphFont"/>
    <w:link w:val="Heading2"/>
    <w:rsid w:val="0095677B"/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02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167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2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8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s-ascii"/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insurance.ca.go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EFT@insurance.ca.gov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insurance.ca.gov/0250-insurers/0300-insurers/0100-applications/tax-forms-instruct-and-info/index.cf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A48D90D-9D94-4FA8-AD54-7DA7324772E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</Pages>
  <Words>431</Words>
  <Characters>2460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2023 2024 Surplus Line Tax Calendar</vt:lpstr>
    </vt:vector>
  </TitlesOfParts>
  <Company>State of California</Company>
  <LinksUpToDate>false</LinksUpToDate>
  <CharactersWithSpaces>2886</CharactersWithSpaces>
  <SharedDoc>false</SharedDoc>
  <HLinks>
    <vt:vector size="6" baseType="variant">
      <vt:variant>
        <vt:i4>4522007</vt:i4>
      </vt:variant>
      <vt:variant>
        <vt:i4>0</vt:i4>
      </vt:variant>
      <vt:variant>
        <vt:i4>0</vt:i4>
      </vt:variant>
      <vt:variant>
        <vt:i4>5</vt:i4>
      </vt:variant>
      <vt:variant>
        <vt:lpwstr>http://www.insurance.ca.gov/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2023 2024 Surplus Line Tax Calendar</dc:title>
  <dc:subject>Premium Tax Return</dc:subject>
  <dc:creator>Department of Insurance;Premium Tax Audit Bureau</dc:creator>
  <cp:keywords>2023 2024 Surplus Line Tax Calendar</cp:keywords>
  <dc:description>Premium Tax</dc:description>
  <cp:lastModifiedBy>Yan, Mimi</cp:lastModifiedBy>
  <cp:revision>44</cp:revision>
  <cp:lastPrinted>2023-11-01T22:48:00Z</cp:lastPrinted>
  <dcterms:created xsi:type="dcterms:W3CDTF">2021-07-07T16:15:00Z</dcterms:created>
  <dcterms:modified xsi:type="dcterms:W3CDTF">2023-11-01T22:48:00Z</dcterms:modified>
</cp:coreProperties>
</file>