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CC" w:rsidRPr="009E376A" w:rsidRDefault="003340CC" w:rsidP="007E5DBF">
      <w:pPr>
        <w:pStyle w:val="Heading1"/>
        <w:tabs>
          <w:tab w:val="clear" w:pos="9360"/>
        </w:tabs>
        <w:ind w:right="54"/>
        <w:jc w:val="center"/>
        <w:rPr>
          <w:rFonts w:ascii="Arial" w:hAnsi="Arial" w:cs="Arial"/>
          <w:b/>
          <w:sz w:val="20"/>
          <w:szCs w:val="18"/>
        </w:rPr>
      </w:pPr>
      <w:r w:rsidRPr="009E376A">
        <w:rPr>
          <w:rFonts w:ascii="Arial" w:hAnsi="Arial" w:cs="Arial"/>
          <w:b/>
          <w:sz w:val="20"/>
          <w:szCs w:val="18"/>
        </w:rPr>
        <w:t>ATTACHMENT “B”</w:t>
      </w:r>
    </w:p>
    <w:p w:rsidR="003340CC" w:rsidRPr="009E376A" w:rsidRDefault="003340CC">
      <w:pPr>
        <w:pStyle w:val="BodyText2"/>
        <w:rPr>
          <w:rFonts w:ascii="Arial" w:hAnsi="Arial" w:cs="Arial"/>
          <w:sz w:val="20"/>
          <w:szCs w:val="18"/>
        </w:rPr>
      </w:pPr>
      <w:r w:rsidRPr="009E376A">
        <w:rPr>
          <w:rFonts w:ascii="Arial" w:hAnsi="Arial" w:cs="Arial"/>
          <w:sz w:val="20"/>
          <w:szCs w:val="18"/>
        </w:rPr>
        <w:t xml:space="preserve">BACKGROUND AND PROCEDURE FOR REPORTING </w:t>
      </w:r>
    </w:p>
    <w:p w:rsidR="003340CC" w:rsidRPr="009E376A" w:rsidRDefault="003340CC" w:rsidP="007E5DBF">
      <w:pPr>
        <w:pStyle w:val="BodyText2"/>
        <w:rPr>
          <w:rFonts w:ascii="Arial" w:hAnsi="Arial" w:cs="Arial"/>
          <w:sz w:val="20"/>
          <w:szCs w:val="18"/>
        </w:rPr>
      </w:pPr>
      <w:r w:rsidRPr="009E376A">
        <w:rPr>
          <w:rFonts w:ascii="Arial" w:hAnsi="Arial" w:cs="Arial"/>
          <w:sz w:val="20"/>
          <w:szCs w:val="18"/>
        </w:rPr>
        <w:t>TAXABLE ANNUITY CONSIDERATIONS</w:t>
      </w:r>
    </w:p>
    <w:p w:rsidR="003340CC" w:rsidRPr="009E376A" w:rsidRDefault="003340CC" w:rsidP="009E376A">
      <w:pPr>
        <w:pStyle w:val="Heading2"/>
        <w:spacing w:before="240" w:after="240"/>
        <w:ind w:left="0"/>
        <w:rPr>
          <w:rFonts w:ascii="Arial" w:hAnsi="Arial" w:cs="Arial"/>
          <w:b/>
          <w:sz w:val="20"/>
          <w:szCs w:val="18"/>
        </w:rPr>
      </w:pPr>
      <w:r w:rsidRPr="009E376A">
        <w:rPr>
          <w:rFonts w:ascii="Arial" w:hAnsi="Arial" w:cs="Arial"/>
          <w:b/>
          <w:sz w:val="20"/>
          <w:szCs w:val="18"/>
        </w:rPr>
        <w:t>BACKGROUND INFORMATION:</w:t>
      </w:r>
    </w:p>
    <w:p w:rsidR="003340CC" w:rsidRPr="009E376A" w:rsidRDefault="003340CC" w:rsidP="009E376A">
      <w:pPr>
        <w:spacing w:before="240" w:after="240"/>
        <w:jc w:val="both"/>
        <w:rPr>
          <w:rFonts w:ascii="Arial" w:hAnsi="Arial" w:cs="Arial"/>
          <w:szCs w:val="18"/>
        </w:rPr>
      </w:pPr>
      <w:r w:rsidRPr="009E376A">
        <w:rPr>
          <w:rFonts w:ascii="Arial" w:hAnsi="Arial" w:cs="Arial"/>
          <w:szCs w:val="18"/>
        </w:rPr>
        <w:t>TAXABLE ANNUITY CONSIDERATIONS – Immediate vs. Deferred Annuities</w:t>
      </w:r>
    </w:p>
    <w:p w:rsidR="003A2397" w:rsidRPr="009E376A" w:rsidRDefault="003340CC" w:rsidP="009E376A">
      <w:pPr>
        <w:spacing w:before="240" w:after="240"/>
        <w:jc w:val="both"/>
        <w:rPr>
          <w:rFonts w:ascii="Arial" w:hAnsi="Arial" w:cs="Arial"/>
          <w:szCs w:val="18"/>
        </w:rPr>
      </w:pPr>
      <w:r w:rsidRPr="009E376A">
        <w:rPr>
          <w:rFonts w:ascii="Arial" w:hAnsi="Arial" w:cs="Arial"/>
          <w:szCs w:val="18"/>
        </w:rPr>
        <w:t>IMMEDIATE ANNUITY: Funds accepted from policyholders should be reported once the annuity is purchased and benefit payments begin.</w:t>
      </w:r>
    </w:p>
    <w:p w:rsidR="003340CC" w:rsidRPr="009E376A" w:rsidRDefault="003340CC" w:rsidP="009E376A">
      <w:pPr>
        <w:spacing w:after="240"/>
        <w:jc w:val="both"/>
        <w:rPr>
          <w:rFonts w:ascii="Arial" w:hAnsi="Arial" w:cs="Arial"/>
          <w:szCs w:val="18"/>
        </w:rPr>
      </w:pPr>
      <w:r w:rsidRPr="009E376A">
        <w:rPr>
          <w:rFonts w:ascii="Arial" w:hAnsi="Arial" w:cs="Arial"/>
          <w:szCs w:val="18"/>
        </w:rPr>
        <w:t xml:space="preserve">DEFFERED ANNUITY: Premiums are paid for the purchase of a deferred annuity during the accumulation period and ends when the policyholder begins to receive benefit payments.  </w:t>
      </w:r>
      <w:r w:rsidR="00A71291" w:rsidRPr="009E376A">
        <w:rPr>
          <w:rFonts w:ascii="Arial" w:hAnsi="Arial" w:cs="Arial"/>
          <w:szCs w:val="18"/>
        </w:rPr>
        <w:t xml:space="preserve">A Company </w:t>
      </w:r>
      <w:r w:rsidR="008C2C33" w:rsidRPr="009E376A">
        <w:rPr>
          <w:rFonts w:ascii="Arial" w:hAnsi="Arial" w:cs="Arial"/>
          <w:szCs w:val="18"/>
        </w:rPr>
        <w:t>initially e</w:t>
      </w:r>
      <w:r w:rsidR="00A71291" w:rsidRPr="009E376A">
        <w:rPr>
          <w:rFonts w:ascii="Arial" w:hAnsi="Arial" w:cs="Arial"/>
          <w:szCs w:val="18"/>
        </w:rPr>
        <w:t>lect</w:t>
      </w:r>
      <w:r w:rsidR="008C2C33" w:rsidRPr="009E376A">
        <w:rPr>
          <w:rFonts w:ascii="Arial" w:hAnsi="Arial" w:cs="Arial"/>
          <w:szCs w:val="18"/>
        </w:rPr>
        <w:t>s</w:t>
      </w:r>
      <w:r w:rsidR="00A71291" w:rsidRPr="009E376A">
        <w:rPr>
          <w:rFonts w:ascii="Arial" w:hAnsi="Arial" w:cs="Arial"/>
          <w:szCs w:val="18"/>
        </w:rPr>
        <w:t xml:space="preserve"> to remit premium tax on a “front-end” or “back-end” basis. For “front-end” premium tax reporting, premiums are reported at the time premiums are received for the purchase of a deferred annuity (the accumulation period).  For “back-end” premium tax reporting</w:t>
      </w:r>
      <w:r w:rsidRPr="009E376A">
        <w:rPr>
          <w:rFonts w:ascii="Arial" w:hAnsi="Arial" w:cs="Arial"/>
          <w:szCs w:val="18"/>
        </w:rPr>
        <w:t xml:space="preserve">, Total Annuity Considerations include both </w:t>
      </w:r>
      <w:proofErr w:type="gramStart"/>
      <w:r w:rsidRPr="009E376A">
        <w:rPr>
          <w:rFonts w:ascii="Arial" w:hAnsi="Arial" w:cs="Arial"/>
          <w:szCs w:val="18"/>
        </w:rPr>
        <w:t>amount</w:t>
      </w:r>
      <w:proofErr w:type="gramEnd"/>
      <w:r w:rsidRPr="009E376A">
        <w:rPr>
          <w:rFonts w:ascii="Arial" w:hAnsi="Arial" w:cs="Arial"/>
          <w:szCs w:val="18"/>
        </w:rPr>
        <w:t xml:space="preserve"> paid by the policyholder and the interest credited </w:t>
      </w:r>
      <w:r w:rsidR="008C2C33" w:rsidRPr="009E376A">
        <w:rPr>
          <w:rFonts w:ascii="Arial" w:hAnsi="Arial" w:cs="Arial"/>
          <w:szCs w:val="18"/>
        </w:rPr>
        <w:t xml:space="preserve">to the funds accumulated </w:t>
      </w:r>
      <w:r w:rsidRPr="009E376A">
        <w:rPr>
          <w:rFonts w:ascii="Arial" w:hAnsi="Arial" w:cs="Arial"/>
          <w:szCs w:val="18"/>
        </w:rPr>
        <w:t xml:space="preserve">are to be reported as </w:t>
      </w:r>
      <w:r w:rsidR="008C2C33" w:rsidRPr="009E376A">
        <w:rPr>
          <w:rFonts w:ascii="Arial" w:hAnsi="Arial" w:cs="Arial"/>
          <w:szCs w:val="18"/>
        </w:rPr>
        <w:t>“gross premiums received</w:t>
      </w:r>
      <w:r w:rsidRPr="009E376A">
        <w:rPr>
          <w:rFonts w:ascii="Arial" w:hAnsi="Arial" w:cs="Arial"/>
          <w:szCs w:val="18"/>
        </w:rPr>
        <w:t>.</w:t>
      </w:r>
      <w:r w:rsidR="008C2C33" w:rsidRPr="009E376A">
        <w:rPr>
          <w:rFonts w:ascii="Arial" w:hAnsi="Arial" w:cs="Arial"/>
          <w:szCs w:val="18"/>
        </w:rPr>
        <w:t>”</w:t>
      </w:r>
      <w:r w:rsidRPr="009E376A">
        <w:rPr>
          <w:rFonts w:ascii="Arial" w:hAnsi="Arial" w:cs="Arial"/>
          <w:szCs w:val="18"/>
        </w:rPr>
        <w:t xml:space="preserve"> </w:t>
      </w:r>
      <w:r w:rsidR="008C2C33" w:rsidRPr="009E376A">
        <w:rPr>
          <w:rFonts w:ascii="Arial" w:hAnsi="Arial" w:cs="Arial"/>
          <w:b/>
          <w:szCs w:val="18"/>
        </w:rPr>
        <w:t xml:space="preserve">Any subsequent </w:t>
      </w:r>
      <w:r w:rsidRPr="009E376A">
        <w:rPr>
          <w:rFonts w:ascii="Arial" w:hAnsi="Arial" w:cs="Arial"/>
          <w:b/>
          <w:szCs w:val="18"/>
        </w:rPr>
        <w:t xml:space="preserve">election </w:t>
      </w:r>
      <w:r w:rsidR="008C2C33" w:rsidRPr="009E376A">
        <w:rPr>
          <w:rFonts w:ascii="Arial" w:hAnsi="Arial" w:cs="Arial"/>
          <w:b/>
          <w:szCs w:val="18"/>
        </w:rPr>
        <w:t xml:space="preserve">by Company </w:t>
      </w:r>
      <w:r w:rsidR="002C18CF" w:rsidRPr="009E376A">
        <w:rPr>
          <w:rFonts w:ascii="Arial" w:hAnsi="Arial" w:cs="Arial"/>
          <w:b/>
          <w:szCs w:val="18"/>
        </w:rPr>
        <w:t xml:space="preserve">to </w:t>
      </w:r>
      <w:r w:rsidRPr="009E376A">
        <w:rPr>
          <w:rFonts w:ascii="Arial" w:hAnsi="Arial" w:cs="Arial"/>
          <w:b/>
          <w:szCs w:val="18"/>
        </w:rPr>
        <w:t>change remit</w:t>
      </w:r>
      <w:r w:rsidR="002C18CF" w:rsidRPr="009E376A">
        <w:rPr>
          <w:rFonts w:ascii="Arial" w:hAnsi="Arial" w:cs="Arial"/>
          <w:b/>
          <w:szCs w:val="18"/>
        </w:rPr>
        <w:t>tance of</w:t>
      </w:r>
      <w:r w:rsidRPr="009E376A">
        <w:rPr>
          <w:rFonts w:ascii="Arial" w:hAnsi="Arial" w:cs="Arial"/>
          <w:b/>
          <w:szCs w:val="18"/>
        </w:rPr>
        <w:t xml:space="preserve"> premium tax </w:t>
      </w:r>
      <w:r w:rsidR="002C18CF" w:rsidRPr="009E376A">
        <w:rPr>
          <w:rFonts w:ascii="Arial" w:hAnsi="Arial" w:cs="Arial"/>
          <w:b/>
          <w:szCs w:val="18"/>
        </w:rPr>
        <w:t xml:space="preserve">to a </w:t>
      </w:r>
      <w:r w:rsidRPr="009E376A">
        <w:rPr>
          <w:rFonts w:ascii="Arial" w:hAnsi="Arial" w:cs="Arial"/>
          <w:b/>
          <w:szCs w:val="18"/>
        </w:rPr>
        <w:t>“back-end</w:t>
      </w:r>
      <w:r w:rsidR="00AF29FE" w:rsidRPr="009E376A">
        <w:rPr>
          <w:rFonts w:ascii="Arial" w:hAnsi="Arial" w:cs="Arial"/>
          <w:b/>
          <w:szCs w:val="18"/>
        </w:rPr>
        <w:t>”</w:t>
      </w:r>
      <w:r w:rsidRPr="009E376A">
        <w:rPr>
          <w:rFonts w:ascii="Arial" w:hAnsi="Arial" w:cs="Arial"/>
          <w:b/>
          <w:szCs w:val="18"/>
        </w:rPr>
        <w:t xml:space="preserve"> or </w:t>
      </w:r>
      <w:r w:rsidR="00AF29FE" w:rsidRPr="009E376A">
        <w:rPr>
          <w:rFonts w:ascii="Arial" w:hAnsi="Arial" w:cs="Arial"/>
          <w:b/>
          <w:szCs w:val="18"/>
        </w:rPr>
        <w:t>“</w:t>
      </w:r>
      <w:r w:rsidRPr="009E376A">
        <w:rPr>
          <w:rFonts w:ascii="Arial" w:hAnsi="Arial" w:cs="Arial"/>
          <w:b/>
          <w:szCs w:val="18"/>
        </w:rPr>
        <w:t>front-end” basis requires prior approval by the Department of Insurance.</w:t>
      </w:r>
    </w:p>
    <w:p w:rsidR="002E5D60" w:rsidRPr="009E376A" w:rsidRDefault="003340CC" w:rsidP="009E376A">
      <w:pPr>
        <w:spacing w:after="240"/>
        <w:jc w:val="both"/>
        <w:rPr>
          <w:rFonts w:ascii="Arial" w:hAnsi="Arial" w:cs="Arial"/>
          <w:szCs w:val="18"/>
        </w:rPr>
      </w:pPr>
      <w:r w:rsidRPr="009E376A">
        <w:rPr>
          <w:rFonts w:ascii="Arial" w:hAnsi="Arial" w:cs="Arial"/>
          <w:szCs w:val="18"/>
        </w:rPr>
        <w:t xml:space="preserve">Revenue and Taxation Code Section 12222 provides that an insurer </w:t>
      </w:r>
      <w:r w:rsidRPr="009E376A">
        <w:rPr>
          <w:rFonts w:ascii="Arial" w:hAnsi="Arial" w:cs="Arial"/>
          <w:b/>
          <w:szCs w:val="18"/>
        </w:rPr>
        <w:t xml:space="preserve">reporting tax on a ‘back-end’ </w:t>
      </w:r>
      <w:r w:rsidR="002E5D60" w:rsidRPr="009E376A">
        <w:rPr>
          <w:rFonts w:ascii="Arial" w:hAnsi="Arial" w:cs="Arial"/>
          <w:b/>
          <w:szCs w:val="18"/>
        </w:rPr>
        <w:t xml:space="preserve">(deferred) </w:t>
      </w:r>
      <w:r w:rsidRPr="009E376A">
        <w:rPr>
          <w:rFonts w:ascii="Arial" w:hAnsi="Arial" w:cs="Arial"/>
          <w:b/>
          <w:szCs w:val="18"/>
        </w:rPr>
        <w:t>basis</w:t>
      </w:r>
      <w:r w:rsidRPr="009E376A">
        <w:rPr>
          <w:rFonts w:ascii="Arial" w:hAnsi="Arial" w:cs="Arial"/>
          <w:szCs w:val="18"/>
        </w:rPr>
        <w:t xml:space="preserve"> for annuity policies must report</w:t>
      </w:r>
      <w:r w:rsidR="0042604A" w:rsidRPr="009E376A">
        <w:rPr>
          <w:rFonts w:ascii="Arial" w:hAnsi="Arial" w:cs="Arial"/>
          <w:szCs w:val="18"/>
        </w:rPr>
        <w:t xml:space="preserve"> the following for the purpose of determining actual premium tax liability</w:t>
      </w:r>
      <w:r w:rsidR="002E5D60" w:rsidRPr="009E376A">
        <w:rPr>
          <w:rFonts w:ascii="Arial" w:hAnsi="Arial" w:cs="Arial"/>
          <w:szCs w:val="18"/>
        </w:rPr>
        <w:t>:</w:t>
      </w:r>
    </w:p>
    <w:p w:rsidR="002E5D60" w:rsidRPr="009E376A" w:rsidRDefault="002E5D60" w:rsidP="009E376A">
      <w:pPr>
        <w:numPr>
          <w:ilvl w:val="0"/>
          <w:numId w:val="2"/>
        </w:numPr>
        <w:jc w:val="both"/>
        <w:rPr>
          <w:rFonts w:ascii="Arial" w:hAnsi="Arial" w:cs="Arial"/>
          <w:szCs w:val="18"/>
        </w:rPr>
      </w:pPr>
      <w:r w:rsidRPr="009E376A">
        <w:rPr>
          <w:rFonts w:ascii="Arial" w:hAnsi="Arial" w:cs="Arial"/>
          <w:szCs w:val="18"/>
        </w:rPr>
        <w:t>T</w:t>
      </w:r>
      <w:r w:rsidR="003340CC" w:rsidRPr="009E376A">
        <w:rPr>
          <w:rFonts w:ascii="Arial" w:hAnsi="Arial" w:cs="Arial"/>
          <w:szCs w:val="18"/>
        </w:rPr>
        <w:t>he amount originally paid for the policy</w:t>
      </w:r>
      <w:r w:rsidRPr="009E376A">
        <w:rPr>
          <w:rFonts w:ascii="Arial" w:hAnsi="Arial" w:cs="Arial"/>
          <w:szCs w:val="18"/>
        </w:rPr>
        <w:t>;</w:t>
      </w:r>
    </w:p>
    <w:p w:rsidR="002E5D60" w:rsidRPr="009E376A" w:rsidRDefault="002E5D60" w:rsidP="009E376A">
      <w:pPr>
        <w:numPr>
          <w:ilvl w:val="0"/>
          <w:numId w:val="2"/>
        </w:numPr>
        <w:jc w:val="both"/>
        <w:rPr>
          <w:rFonts w:ascii="Arial" w:hAnsi="Arial" w:cs="Arial"/>
          <w:szCs w:val="18"/>
        </w:rPr>
      </w:pPr>
      <w:proofErr w:type="gramStart"/>
      <w:r w:rsidRPr="009E376A">
        <w:rPr>
          <w:rFonts w:ascii="Arial" w:hAnsi="Arial" w:cs="Arial"/>
          <w:i/>
          <w:szCs w:val="18"/>
        </w:rPr>
        <w:t>Plus</w:t>
      </w:r>
      <w:proofErr w:type="gramEnd"/>
      <w:r w:rsidRPr="009E376A">
        <w:rPr>
          <w:rFonts w:ascii="Arial" w:hAnsi="Arial" w:cs="Arial"/>
          <w:szCs w:val="18"/>
        </w:rPr>
        <w:t xml:space="preserve"> </w:t>
      </w:r>
      <w:r w:rsidR="003340CC" w:rsidRPr="009E376A">
        <w:rPr>
          <w:rFonts w:ascii="Arial" w:hAnsi="Arial" w:cs="Arial"/>
          <w:szCs w:val="18"/>
        </w:rPr>
        <w:t xml:space="preserve">the interest credited to the </w:t>
      </w:r>
      <w:r w:rsidRPr="009E376A">
        <w:rPr>
          <w:rFonts w:ascii="Arial" w:hAnsi="Arial" w:cs="Arial"/>
          <w:szCs w:val="18"/>
        </w:rPr>
        <w:t xml:space="preserve">policy </w:t>
      </w:r>
      <w:r w:rsidR="003340CC" w:rsidRPr="009E376A">
        <w:rPr>
          <w:rFonts w:ascii="Arial" w:hAnsi="Arial" w:cs="Arial"/>
          <w:szCs w:val="18"/>
        </w:rPr>
        <w:t>account accumulated over the years before the policy annuitized</w:t>
      </w:r>
      <w:r w:rsidR="0042604A" w:rsidRPr="009E376A">
        <w:rPr>
          <w:rFonts w:ascii="Arial" w:hAnsi="Arial" w:cs="Arial"/>
          <w:szCs w:val="18"/>
        </w:rPr>
        <w:t>;</w:t>
      </w:r>
      <w:r w:rsidR="003340CC" w:rsidRPr="009E376A">
        <w:rPr>
          <w:rFonts w:ascii="Arial" w:hAnsi="Arial" w:cs="Arial"/>
          <w:szCs w:val="18"/>
        </w:rPr>
        <w:t xml:space="preserve"> </w:t>
      </w:r>
    </w:p>
    <w:p w:rsidR="003A2397" w:rsidRPr="009E376A" w:rsidRDefault="002E5D60" w:rsidP="009E376A">
      <w:pPr>
        <w:numPr>
          <w:ilvl w:val="0"/>
          <w:numId w:val="2"/>
        </w:numPr>
        <w:spacing w:after="240"/>
        <w:jc w:val="both"/>
        <w:rPr>
          <w:rFonts w:ascii="Arial" w:hAnsi="Arial" w:cs="Arial"/>
          <w:szCs w:val="18"/>
        </w:rPr>
      </w:pPr>
      <w:proofErr w:type="gramStart"/>
      <w:r w:rsidRPr="009E376A">
        <w:rPr>
          <w:rFonts w:ascii="Arial" w:hAnsi="Arial" w:cs="Arial"/>
          <w:i/>
          <w:szCs w:val="18"/>
        </w:rPr>
        <w:t>Plus</w:t>
      </w:r>
      <w:proofErr w:type="gramEnd"/>
      <w:r w:rsidRPr="009E376A">
        <w:rPr>
          <w:rFonts w:ascii="Arial" w:hAnsi="Arial" w:cs="Arial"/>
          <w:szCs w:val="18"/>
        </w:rPr>
        <w:t xml:space="preserve"> a</w:t>
      </w:r>
      <w:r w:rsidR="003340CC" w:rsidRPr="009E376A">
        <w:rPr>
          <w:rFonts w:ascii="Arial" w:hAnsi="Arial" w:cs="Arial"/>
          <w:szCs w:val="18"/>
        </w:rPr>
        <w:t xml:space="preserve">ny amounts such as charges and/or fees collected by the Company </w:t>
      </w:r>
      <w:r w:rsidR="002E1083" w:rsidRPr="009E376A">
        <w:rPr>
          <w:rFonts w:ascii="Arial" w:hAnsi="Arial" w:cs="Arial"/>
          <w:szCs w:val="18"/>
        </w:rPr>
        <w:t xml:space="preserve">AND </w:t>
      </w:r>
      <w:r w:rsidR="003340CC" w:rsidRPr="009E376A">
        <w:rPr>
          <w:rFonts w:ascii="Arial" w:hAnsi="Arial" w:cs="Arial"/>
          <w:szCs w:val="18"/>
        </w:rPr>
        <w:t xml:space="preserve">deducted from the policy account </w:t>
      </w:r>
      <w:r w:rsidR="00AF29FE" w:rsidRPr="009E376A">
        <w:rPr>
          <w:rFonts w:ascii="Arial" w:hAnsi="Arial" w:cs="Arial"/>
          <w:szCs w:val="18"/>
        </w:rPr>
        <w:t>on or before</w:t>
      </w:r>
      <w:r w:rsidR="003340CC" w:rsidRPr="009E376A">
        <w:rPr>
          <w:rFonts w:ascii="Arial" w:hAnsi="Arial" w:cs="Arial"/>
          <w:szCs w:val="18"/>
        </w:rPr>
        <w:t xml:space="preserve"> the time of annuitization </w:t>
      </w:r>
      <w:r w:rsidR="00EC6402" w:rsidRPr="009E376A">
        <w:rPr>
          <w:rFonts w:ascii="Arial" w:hAnsi="Arial" w:cs="Arial"/>
          <w:szCs w:val="18"/>
        </w:rPr>
        <w:t xml:space="preserve">of the </w:t>
      </w:r>
      <w:r w:rsidRPr="009E376A">
        <w:rPr>
          <w:rFonts w:ascii="Arial" w:hAnsi="Arial" w:cs="Arial"/>
          <w:szCs w:val="18"/>
        </w:rPr>
        <w:t xml:space="preserve">policy </w:t>
      </w:r>
      <w:r w:rsidR="003340CC" w:rsidRPr="009E376A">
        <w:rPr>
          <w:rFonts w:ascii="Arial" w:hAnsi="Arial" w:cs="Arial"/>
          <w:szCs w:val="18"/>
        </w:rPr>
        <w:t>account</w:t>
      </w:r>
      <w:r w:rsidR="0042604A" w:rsidRPr="009E376A">
        <w:rPr>
          <w:rFonts w:ascii="Arial" w:hAnsi="Arial" w:cs="Arial"/>
          <w:szCs w:val="18"/>
        </w:rPr>
        <w:t>.</w:t>
      </w:r>
    </w:p>
    <w:p w:rsidR="003340CC" w:rsidRPr="009E376A" w:rsidRDefault="003340CC" w:rsidP="009E376A">
      <w:pPr>
        <w:pStyle w:val="Heading2"/>
        <w:spacing w:after="240"/>
        <w:ind w:left="0"/>
        <w:rPr>
          <w:rFonts w:ascii="Arial" w:hAnsi="Arial" w:cs="Arial"/>
          <w:b/>
          <w:sz w:val="20"/>
          <w:szCs w:val="18"/>
        </w:rPr>
      </w:pPr>
      <w:r w:rsidRPr="009E376A">
        <w:rPr>
          <w:rFonts w:ascii="Arial" w:hAnsi="Arial" w:cs="Arial"/>
          <w:b/>
          <w:sz w:val="20"/>
          <w:szCs w:val="18"/>
        </w:rPr>
        <w:t xml:space="preserve">HYPHOTHETICAL SITUATIONS: </w:t>
      </w:r>
    </w:p>
    <w:p w:rsidR="003340CC" w:rsidRPr="009E376A" w:rsidRDefault="003340CC" w:rsidP="009E376A">
      <w:pPr>
        <w:numPr>
          <w:ilvl w:val="0"/>
          <w:numId w:val="1"/>
        </w:numPr>
        <w:spacing w:after="240"/>
        <w:jc w:val="both"/>
        <w:rPr>
          <w:rFonts w:ascii="Arial" w:hAnsi="Arial" w:cs="Arial"/>
          <w:szCs w:val="18"/>
        </w:rPr>
      </w:pPr>
      <w:r w:rsidRPr="009E376A">
        <w:rPr>
          <w:rFonts w:ascii="Arial" w:hAnsi="Arial" w:cs="Arial"/>
          <w:i/>
          <w:szCs w:val="18"/>
        </w:rPr>
        <w:t>Annuity policies on a “front-end” basis</w:t>
      </w:r>
      <w:r w:rsidRPr="009E376A">
        <w:rPr>
          <w:rFonts w:ascii="Arial" w:hAnsi="Arial" w:cs="Arial"/>
          <w:szCs w:val="18"/>
        </w:rPr>
        <w:t>:</w:t>
      </w:r>
    </w:p>
    <w:p w:rsidR="003340CC" w:rsidRPr="009E376A" w:rsidRDefault="003340CC" w:rsidP="009E376A">
      <w:pPr>
        <w:spacing w:after="240"/>
        <w:ind w:left="720"/>
        <w:jc w:val="both"/>
        <w:rPr>
          <w:rFonts w:ascii="Arial" w:hAnsi="Arial" w:cs="Arial"/>
          <w:szCs w:val="18"/>
        </w:rPr>
      </w:pPr>
      <w:r w:rsidRPr="009E376A">
        <w:rPr>
          <w:rFonts w:ascii="Arial" w:hAnsi="Arial" w:cs="Arial"/>
          <w:szCs w:val="18"/>
        </w:rPr>
        <w:t>Insurance Company A sells an annuity policy for $100,000 which will commence on a certain date in the future and will pay a certain amount per month for certain period.  It applies the accumulated funds to the purchase of an annuity five years later.  In that period, it credited $50,000 in interest to the account and made $15,000 in charges.  It applies $135,000 to the purchase of the annuity.</w:t>
      </w:r>
    </w:p>
    <w:p w:rsidR="003340CC" w:rsidRPr="009E376A" w:rsidRDefault="003340CC" w:rsidP="009E376A">
      <w:pPr>
        <w:spacing w:after="240"/>
        <w:ind w:left="720"/>
        <w:jc w:val="both"/>
        <w:rPr>
          <w:rFonts w:ascii="Arial" w:hAnsi="Arial" w:cs="Arial"/>
          <w:szCs w:val="18"/>
        </w:rPr>
      </w:pPr>
      <w:r w:rsidRPr="009E376A">
        <w:rPr>
          <w:rFonts w:ascii="Arial" w:hAnsi="Arial" w:cs="Arial"/>
          <w:szCs w:val="18"/>
        </w:rPr>
        <w:t>Insurance Company B sells an annuity policy with identical terms, also for $100,000.  During the five years it accumulates the funds, it credited $40,000 in interest to the account and made $5,000 in charges, applying $135,000 to the purchase of the annuity.</w:t>
      </w:r>
    </w:p>
    <w:p w:rsidR="003340CC" w:rsidRPr="009E376A" w:rsidRDefault="003340CC" w:rsidP="009E376A">
      <w:pPr>
        <w:spacing w:after="240"/>
        <w:ind w:left="720"/>
        <w:jc w:val="both"/>
        <w:rPr>
          <w:rFonts w:ascii="Arial" w:hAnsi="Arial" w:cs="Arial"/>
          <w:szCs w:val="18"/>
        </w:rPr>
      </w:pPr>
      <w:r w:rsidRPr="009E376A">
        <w:rPr>
          <w:rFonts w:ascii="Arial" w:hAnsi="Arial" w:cs="Arial"/>
          <w:szCs w:val="18"/>
        </w:rPr>
        <w:t>The fact the Company B credited less interest to its insured than did Company A, and the fact that Company B made a lower charge against the insured’s funds than did Company A, does not change the fact that each company received the identical amount of premiums.  Since both companies are on a front-end basis, they are required to pay tax with the return for the year in which the premium was received measured by the amount of that premium ($100,000), each company owed the identical amount of tax with respect to each respective annuity policy.  The differences in earnings and charges are irrelevant.</w:t>
      </w:r>
    </w:p>
    <w:p w:rsidR="003340CC" w:rsidRPr="009E376A" w:rsidRDefault="003340CC" w:rsidP="009E376A">
      <w:pPr>
        <w:spacing w:after="240"/>
        <w:jc w:val="both"/>
        <w:rPr>
          <w:rFonts w:ascii="Arial" w:hAnsi="Arial" w:cs="Arial"/>
          <w:szCs w:val="18"/>
        </w:rPr>
      </w:pPr>
      <w:r w:rsidRPr="009E376A">
        <w:rPr>
          <w:rFonts w:ascii="Arial" w:hAnsi="Arial" w:cs="Arial"/>
          <w:szCs w:val="18"/>
        </w:rPr>
        <w:t>B.</w:t>
      </w:r>
      <w:r w:rsidRPr="009E376A">
        <w:rPr>
          <w:rFonts w:ascii="Arial" w:hAnsi="Arial" w:cs="Arial"/>
          <w:szCs w:val="18"/>
        </w:rPr>
        <w:tab/>
      </w:r>
      <w:r w:rsidRPr="009E376A">
        <w:rPr>
          <w:rFonts w:ascii="Arial" w:hAnsi="Arial" w:cs="Arial"/>
          <w:i/>
          <w:szCs w:val="18"/>
        </w:rPr>
        <w:t>Annuity policies on a “back-end” basis</w:t>
      </w:r>
      <w:r w:rsidRPr="009E376A">
        <w:rPr>
          <w:rFonts w:ascii="Arial" w:hAnsi="Arial" w:cs="Arial"/>
          <w:szCs w:val="18"/>
        </w:rPr>
        <w:t>:</w:t>
      </w:r>
    </w:p>
    <w:p w:rsidR="00E057D5" w:rsidRPr="009E376A" w:rsidRDefault="003340CC" w:rsidP="009E376A">
      <w:pPr>
        <w:pStyle w:val="BodyTextIndent"/>
        <w:spacing w:after="240"/>
        <w:jc w:val="both"/>
        <w:rPr>
          <w:rFonts w:ascii="Arial" w:hAnsi="Arial" w:cs="Arial"/>
          <w:b/>
          <w:sz w:val="20"/>
          <w:szCs w:val="18"/>
        </w:rPr>
      </w:pPr>
      <w:r w:rsidRPr="009E376A">
        <w:rPr>
          <w:rFonts w:ascii="Arial" w:hAnsi="Arial" w:cs="Arial"/>
          <w:sz w:val="20"/>
          <w:szCs w:val="18"/>
        </w:rPr>
        <w:t xml:space="preserve">Insurance Company A sells an annuity policy for $100,000 which will commence on a certain date in the future and will pay a certain amount per month for a certain period.  It applies the accumulated funds to the purchase of an annuity five years later.  In that period, it credited $50,000 in interest to the account, and made $15,000 in charges.  It applies $135,000 to the purchase of the annuity (the ending balance of the account value). </w:t>
      </w:r>
      <w:r w:rsidRPr="009E376A">
        <w:rPr>
          <w:rFonts w:ascii="Arial" w:hAnsi="Arial" w:cs="Arial"/>
          <w:b/>
          <w:sz w:val="20"/>
          <w:szCs w:val="18"/>
        </w:rPr>
        <w:t>The company’s tax base is $150,000.</w:t>
      </w:r>
    </w:p>
    <w:p w:rsidR="00E057D5" w:rsidRPr="009E376A" w:rsidRDefault="003340CC" w:rsidP="009E376A">
      <w:pPr>
        <w:pStyle w:val="BodyTextIndent"/>
        <w:spacing w:after="240"/>
        <w:jc w:val="both"/>
        <w:rPr>
          <w:rFonts w:ascii="Arial" w:hAnsi="Arial" w:cs="Arial"/>
          <w:b/>
          <w:sz w:val="20"/>
          <w:szCs w:val="18"/>
        </w:rPr>
      </w:pPr>
      <w:r w:rsidRPr="009E376A">
        <w:rPr>
          <w:rFonts w:ascii="Arial" w:hAnsi="Arial" w:cs="Arial"/>
          <w:sz w:val="20"/>
          <w:szCs w:val="18"/>
        </w:rPr>
        <w:lastRenderedPageBreak/>
        <w:t xml:space="preserve">Insurance Company B sells an annuity policy with identical terms, also for $100,000.  During the five years it accumulates the funds, it credited $40,000 in interest to the account, and made $5,000 in charges, applying $135,000 to the purchase of annuity. </w:t>
      </w:r>
      <w:r w:rsidRPr="009E376A">
        <w:rPr>
          <w:rFonts w:ascii="Arial" w:hAnsi="Arial" w:cs="Arial"/>
          <w:b/>
          <w:sz w:val="20"/>
          <w:szCs w:val="18"/>
        </w:rPr>
        <w:t>The company’s tax base is $140,000.</w:t>
      </w:r>
    </w:p>
    <w:p w:rsidR="003340CC" w:rsidRPr="009E376A" w:rsidRDefault="003340CC" w:rsidP="009E376A">
      <w:pPr>
        <w:pStyle w:val="BodyTextIndent"/>
        <w:spacing w:after="240"/>
        <w:jc w:val="both"/>
        <w:rPr>
          <w:rFonts w:ascii="Arial" w:hAnsi="Arial" w:cs="Arial"/>
          <w:sz w:val="20"/>
          <w:szCs w:val="18"/>
        </w:rPr>
      </w:pPr>
      <w:r w:rsidRPr="009E376A">
        <w:rPr>
          <w:rFonts w:ascii="Arial" w:hAnsi="Arial" w:cs="Arial"/>
          <w:sz w:val="20"/>
          <w:szCs w:val="18"/>
        </w:rPr>
        <w:t xml:space="preserve">Since these insurers are </w:t>
      </w:r>
      <w:bookmarkStart w:id="0" w:name="_GoBack"/>
      <w:bookmarkEnd w:id="0"/>
      <w:r w:rsidRPr="009E376A">
        <w:rPr>
          <w:rFonts w:ascii="Arial" w:hAnsi="Arial" w:cs="Arial"/>
          <w:sz w:val="20"/>
          <w:szCs w:val="18"/>
        </w:rPr>
        <w:t>on a “back-end” basis, they owe no tax with respect to these policies for the year in which they received the premiums.  Rather, they must report and pay the applicable tax with their returns for the fifth year after the commencement of the policy, which is when they applied the funds to the purchase of the annuities.  The application of funds to the purchase of the annuities is relevant only to the due date of the tax, so the $135,000 each insurer paid for the annuity is not relevant to the tax it owes.  As was the case of the insurers in the “front-end” hypothetical, each of these insurers had initial taxable gross premiums of $100,000.  However, since these two insurers elected to pay the tax on a deferred “back-end” basis, they must each include in their respective measures of tax the amount of interest credited to their insureds’ accounts.  Since Company A credited $50,000 to its insured, it owes tax measured by $150,000.  Since Company B credited $40,000 to its insured, i</w:t>
      </w:r>
      <w:r w:rsidR="007E5DBF" w:rsidRPr="009E376A">
        <w:rPr>
          <w:rFonts w:ascii="Arial" w:hAnsi="Arial" w:cs="Arial"/>
          <w:sz w:val="20"/>
          <w:szCs w:val="18"/>
        </w:rPr>
        <w:t>t owes tax measured by $140,000.</w:t>
      </w:r>
    </w:p>
    <w:p w:rsidR="003A2397" w:rsidRPr="009E376A" w:rsidRDefault="003340CC" w:rsidP="00F2053E">
      <w:pPr>
        <w:pStyle w:val="Heading2"/>
        <w:ind w:left="0"/>
        <w:rPr>
          <w:rFonts w:ascii="Arial" w:hAnsi="Arial" w:cs="Arial"/>
          <w:b/>
          <w:sz w:val="20"/>
          <w:szCs w:val="18"/>
        </w:rPr>
      </w:pPr>
      <w:r w:rsidRPr="009E376A">
        <w:rPr>
          <w:rFonts w:ascii="Arial" w:hAnsi="Arial" w:cs="Arial"/>
          <w:b/>
          <w:sz w:val="20"/>
          <w:szCs w:val="18"/>
        </w:rPr>
        <w:t>DEFERRED ANNUITY (G</w:t>
      </w:r>
      <w:r w:rsidR="007E5DBF" w:rsidRPr="009E376A">
        <w:rPr>
          <w:rFonts w:ascii="Arial" w:hAnsi="Arial" w:cs="Arial"/>
          <w:b/>
          <w:sz w:val="20"/>
          <w:szCs w:val="18"/>
        </w:rPr>
        <w:t>roup and/or Individual Policy)</w:t>
      </w:r>
    </w:p>
    <w:p w:rsidR="003340CC" w:rsidRPr="00F2053E" w:rsidRDefault="003340CC" w:rsidP="009E376A">
      <w:pPr>
        <w:spacing w:after="240"/>
        <w:jc w:val="both"/>
        <w:rPr>
          <w:rFonts w:ascii="Arial" w:hAnsi="Arial" w:cs="Arial"/>
          <w:b/>
          <w:szCs w:val="18"/>
        </w:rPr>
      </w:pPr>
      <w:r w:rsidRPr="00F2053E">
        <w:rPr>
          <w:rFonts w:ascii="Arial" w:hAnsi="Arial" w:cs="Arial"/>
          <w:b/>
          <w:szCs w:val="18"/>
        </w:rPr>
        <w:t>SUPPORTING DOCUMENTS REQUIRED FROM “BACK-END” ANNUITIZATIONS:</w:t>
      </w:r>
    </w:p>
    <w:p w:rsidR="00E057D5" w:rsidRPr="009E376A" w:rsidRDefault="003340CC" w:rsidP="009E376A">
      <w:pPr>
        <w:pStyle w:val="BodyText3"/>
        <w:tabs>
          <w:tab w:val="clear" w:pos="8910"/>
        </w:tabs>
        <w:spacing w:after="240"/>
        <w:ind w:right="-18"/>
        <w:jc w:val="both"/>
        <w:rPr>
          <w:rFonts w:ascii="Arial" w:hAnsi="Arial" w:cs="Arial"/>
          <w:sz w:val="20"/>
          <w:szCs w:val="18"/>
        </w:rPr>
      </w:pPr>
      <w:r w:rsidRPr="009E376A">
        <w:rPr>
          <w:rFonts w:ascii="Arial" w:hAnsi="Arial" w:cs="Arial"/>
          <w:sz w:val="20"/>
          <w:szCs w:val="18"/>
        </w:rPr>
        <w:t xml:space="preserve">Various documents presented by a number of companies’ system generated runs/reports for Annuitization Information include details by State, Policy Number, Effective Year, Gross Annuitization, Surrender Charge, Fees Charge, Interest Credited, Accumulation Value, and Qualified/Non-Qualified, etc.  </w:t>
      </w:r>
      <w:r w:rsidR="0018409D" w:rsidRPr="009E376A">
        <w:rPr>
          <w:rFonts w:ascii="Arial" w:hAnsi="Arial" w:cs="Arial"/>
          <w:sz w:val="20"/>
          <w:szCs w:val="18"/>
        </w:rPr>
        <w:t>Although</w:t>
      </w:r>
      <w:r w:rsidRPr="009E376A">
        <w:rPr>
          <w:rFonts w:ascii="Arial" w:hAnsi="Arial" w:cs="Arial"/>
          <w:sz w:val="20"/>
          <w:szCs w:val="18"/>
        </w:rPr>
        <w:t xml:space="preserve"> this information is sufficient to support the reported amounts in Schedule T Column </w:t>
      </w:r>
      <w:r w:rsidR="004750BF" w:rsidRPr="009E376A">
        <w:rPr>
          <w:rFonts w:ascii="Arial" w:hAnsi="Arial" w:cs="Arial"/>
          <w:sz w:val="20"/>
          <w:szCs w:val="18"/>
        </w:rPr>
        <w:t>3</w:t>
      </w:r>
      <w:r w:rsidRPr="009E376A">
        <w:rPr>
          <w:rFonts w:ascii="Arial" w:hAnsi="Arial" w:cs="Arial"/>
          <w:sz w:val="20"/>
          <w:szCs w:val="18"/>
        </w:rPr>
        <w:t xml:space="preserve"> and deposit-type</w:t>
      </w:r>
      <w:r w:rsidR="004750BF" w:rsidRPr="009E376A">
        <w:rPr>
          <w:rFonts w:ascii="Arial" w:hAnsi="Arial" w:cs="Arial"/>
          <w:sz w:val="20"/>
          <w:szCs w:val="18"/>
        </w:rPr>
        <w:t>s</w:t>
      </w:r>
      <w:r w:rsidRPr="009E376A">
        <w:rPr>
          <w:rFonts w:ascii="Arial" w:hAnsi="Arial" w:cs="Arial"/>
          <w:sz w:val="20"/>
          <w:szCs w:val="18"/>
        </w:rPr>
        <w:t xml:space="preserve"> </w:t>
      </w:r>
      <w:r w:rsidR="004750BF" w:rsidRPr="009E376A">
        <w:rPr>
          <w:rFonts w:ascii="Arial" w:hAnsi="Arial" w:cs="Arial"/>
          <w:sz w:val="20"/>
          <w:szCs w:val="18"/>
        </w:rPr>
        <w:t>contracts</w:t>
      </w:r>
      <w:r w:rsidRPr="009E376A">
        <w:rPr>
          <w:rFonts w:ascii="Arial" w:hAnsi="Arial" w:cs="Arial"/>
          <w:sz w:val="20"/>
          <w:szCs w:val="18"/>
        </w:rPr>
        <w:t xml:space="preserve"> including “back-end” annuity considerations not yet annuitized in Schedule T, Column 6</w:t>
      </w:r>
      <w:r w:rsidR="00BC479B" w:rsidRPr="009E376A">
        <w:rPr>
          <w:rFonts w:ascii="Arial" w:hAnsi="Arial" w:cs="Arial"/>
          <w:sz w:val="20"/>
          <w:szCs w:val="18"/>
        </w:rPr>
        <w:t>,</w:t>
      </w:r>
      <w:r w:rsidRPr="009E376A">
        <w:rPr>
          <w:rFonts w:ascii="Arial" w:hAnsi="Arial" w:cs="Arial"/>
          <w:sz w:val="20"/>
          <w:szCs w:val="18"/>
        </w:rPr>
        <w:t xml:space="preserve"> </w:t>
      </w:r>
      <w:r w:rsidR="00BC479B" w:rsidRPr="009E376A">
        <w:rPr>
          <w:rFonts w:ascii="Arial" w:hAnsi="Arial" w:cs="Arial"/>
          <w:sz w:val="20"/>
          <w:szCs w:val="18"/>
        </w:rPr>
        <w:t>t</w:t>
      </w:r>
      <w:r w:rsidR="00830F77" w:rsidRPr="009E376A">
        <w:rPr>
          <w:rFonts w:ascii="Arial" w:hAnsi="Arial" w:cs="Arial"/>
          <w:sz w:val="20"/>
          <w:szCs w:val="18"/>
        </w:rPr>
        <w:t xml:space="preserve">he </w:t>
      </w:r>
      <w:r w:rsidRPr="009E376A">
        <w:rPr>
          <w:rFonts w:ascii="Arial" w:hAnsi="Arial" w:cs="Arial"/>
          <w:sz w:val="20"/>
          <w:szCs w:val="18"/>
        </w:rPr>
        <w:t xml:space="preserve">Company </w:t>
      </w:r>
      <w:r w:rsidR="00BC479B" w:rsidRPr="009E376A">
        <w:rPr>
          <w:rFonts w:ascii="Arial" w:hAnsi="Arial" w:cs="Arial"/>
          <w:sz w:val="20"/>
          <w:szCs w:val="18"/>
        </w:rPr>
        <w:t>must be able to</w:t>
      </w:r>
      <w:r w:rsidRPr="009E376A">
        <w:rPr>
          <w:rFonts w:ascii="Arial" w:hAnsi="Arial" w:cs="Arial"/>
          <w:sz w:val="20"/>
          <w:szCs w:val="18"/>
        </w:rPr>
        <w:t xml:space="preserve"> provide </w:t>
      </w:r>
      <w:r w:rsidR="00BC479B" w:rsidRPr="009E376A">
        <w:rPr>
          <w:rFonts w:ascii="Arial" w:hAnsi="Arial" w:cs="Arial"/>
          <w:sz w:val="20"/>
          <w:szCs w:val="18"/>
        </w:rPr>
        <w:t>when audited</w:t>
      </w:r>
      <w:r w:rsidRPr="009E376A">
        <w:rPr>
          <w:rFonts w:ascii="Arial" w:hAnsi="Arial" w:cs="Arial"/>
          <w:sz w:val="20"/>
          <w:szCs w:val="18"/>
        </w:rPr>
        <w:t xml:space="preserve"> detail</w:t>
      </w:r>
      <w:r w:rsidR="0023062C" w:rsidRPr="009E376A">
        <w:rPr>
          <w:rFonts w:ascii="Arial" w:hAnsi="Arial" w:cs="Arial"/>
          <w:sz w:val="20"/>
          <w:szCs w:val="18"/>
        </w:rPr>
        <w:t xml:space="preserve"> supporting the</w:t>
      </w:r>
      <w:r w:rsidRPr="009E376A">
        <w:rPr>
          <w:rFonts w:ascii="Arial" w:hAnsi="Arial" w:cs="Arial"/>
          <w:sz w:val="20"/>
          <w:szCs w:val="18"/>
        </w:rPr>
        <w:t xml:space="preserve"> annuitization amount</w:t>
      </w:r>
      <w:r w:rsidR="00BC479B" w:rsidRPr="009E376A">
        <w:rPr>
          <w:rFonts w:ascii="Arial" w:hAnsi="Arial" w:cs="Arial"/>
          <w:sz w:val="20"/>
          <w:szCs w:val="18"/>
        </w:rPr>
        <w:t>s</w:t>
      </w:r>
      <w:r w:rsidRPr="009E376A">
        <w:rPr>
          <w:rFonts w:ascii="Arial" w:hAnsi="Arial" w:cs="Arial"/>
          <w:sz w:val="20"/>
          <w:szCs w:val="18"/>
        </w:rPr>
        <w:t xml:space="preserve"> including premiums paid to purchase the annuity, interest credited, surrenders, fees/charges and any other </w:t>
      </w:r>
      <w:r w:rsidR="0023062C" w:rsidRPr="009E376A">
        <w:rPr>
          <w:rFonts w:ascii="Arial" w:hAnsi="Arial" w:cs="Arial"/>
          <w:sz w:val="20"/>
          <w:szCs w:val="18"/>
        </w:rPr>
        <w:t>credits or debits on account</w:t>
      </w:r>
      <w:r w:rsidRPr="009E376A">
        <w:rPr>
          <w:rFonts w:ascii="Arial" w:hAnsi="Arial" w:cs="Arial"/>
          <w:sz w:val="20"/>
          <w:szCs w:val="18"/>
        </w:rPr>
        <w:t xml:space="preserve"> of </w:t>
      </w:r>
      <w:r w:rsidR="0023062C" w:rsidRPr="009E376A">
        <w:rPr>
          <w:rFonts w:ascii="Arial" w:hAnsi="Arial" w:cs="Arial"/>
          <w:sz w:val="20"/>
          <w:szCs w:val="18"/>
        </w:rPr>
        <w:t>a</w:t>
      </w:r>
      <w:r w:rsidRPr="009E376A">
        <w:rPr>
          <w:rFonts w:ascii="Arial" w:hAnsi="Arial" w:cs="Arial"/>
          <w:sz w:val="20"/>
          <w:szCs w:val="18"/>
        </w:rPr>
        <w:t xml:space="preserve"> policy.  </w:t>
      </w:r>
      <w:r w:rsidR="005356B7" w:rsidRPr="009E376A">
        <w:rPr>
          <w:rFonts w:ascii="Arial" w:hAnsi="Arial" w:cs="Arial"/>
          <w:sz w:val="20"/>
          <w:szCs w:val="18"/>
        </w:rPr>
        <w:t xml:space="preserve">Additionally, the Company needs to provide the California Department of Insurance the individual policy file including a summary of itemized statement with deposits, credits, and debits (charges/fees) to arrive at the ending account value </w:t>
      </w:r>
      <w:r w:rsidR="007E5DBF" w:rsidRPr="009E376A">
        <w:rPr>
          <w:rFonts w:ascii="Arial" w:hAnsi="Arial" w:cs="Arial"/>
          <w:sz w:val="20"/>
          <w:szCs w:val="18"/>
        </w:rPr>
        <w:t>as of the date of annuitization.</w:t>
      </w:r>
    </w:p>
    <w:p w:rsidR="00E057D5" w:rsidRPr="009E376A" w:rsidRDefault="003340CC" w:rsidP="009E376A">
      <w:pPr>
        <w:pStyle w:val="BodyText3"/>
        <w:tabs>
          <w:tab w:val="clear" w:pos="8910"/>
        </w:tabs>
        <w:spacing w:after="240"/>
        <w:ind w:right="-18"/>
        <w:jc w:val="both"/>
        <w:rPr>
          <w:rFonts w:ascii="Arial" w:hAnsi="Arial" w:cs="Arial"/>
          <w:sz w:val="20"/>
          <w:szCs w:val="18"/>
        </w:rPr>
      </w:pPr>
      <w:r w:rsidRPr="009E376A">
        <w:rPr>
          <w:rFonts w:ascii="Arial" w:hAnsi="Arial" w:cs="Arial"/>
          <w:sz w:val="20"/>
          <w:szCs w:val="18"/>
        </w:rPr>
        <w:t xml:space="preserve">Policyholders deserve to know how their account value was derived at the time of annuitization.  This same information is needed </w:t>
      </w:r>
      <w:r w:rsidR="00766DAA" w:rsidRPr="009E376A">
        <w:rPr>
          <w:rFonts w:ascii="Arial" w:hAnsi="Arial" w:cs="Arial"/>
          <w:sz w:val="20"/>
          <w:szCs w:val="18"/>
        </w:rPr>
        <w:t>by</w:t>
      </w:r>
      <w:r w:rsidRPr="009E376A">
        <w:rPr>
          <w:rFonts w:ascii="Arial" w:hAnsi="Arial" w:cs="Arial"/>
          <w:sz w:val="20"/>
          <w:szCs w:val="18"/>
        </w:rPr>
        <w:t xml:space="preserve"> </w:t>
      </w:r>
      <w:r w:rsidR="00830F77" w:rsidRPr="009E376A">
        <w:rPr>
          <w:rFonts w:ascii="Arial" w:hAnsi="Arial" w:cs="Arial"/>
          <w:sz w:val="20"/>
          <w:szCs w:val="18"/>
        </w:rPr>
        <w:t xml:space="preserve">the </w:t>
      </w:r>
      <w:r w:rsidR="004750BF" w:rsidRPr="009E376A">
        <w:rPr>
          <w:rFonts w:ascii="Arial" w:hAnsi="Arial" w:cs="Arial"/>
          <w:sz w:val="20"/>
          <w:szCs w:val="18"/>
        </w:rPr>
        <w:t>California Department of Insurance</w:t>
      </w:r>
      <w:r w:rsidRPr="009E376A">
        <w:rPr>
          <w:rFonts w:ascii="Arial" w:hAnsi="Arial" w:cs="Arial"/>
          <w:sz w:val="20"/>
          <w:szCs w:val="18"/>
        </w:rPr>
        <w:t xml:space="preserve"> </w:t>
      </w:r>
      <w:r w:rsidR="00766DAA" w:rsidRPr="009E376A">
        <w:rPr>
          <w:rFonts w:ascii="Arial" w:hAnsi="Arial" w:cs="Arial"/>
          <w:sz w:val="20"/>
          <w:szCs w:val="18"/>
        </w:rPr>
        <w:t xml:space="preserve">for </w:t>
      </w:r>
      <w:r w:rsidRPr="009E376A">
        <w:rPr>
          <w:rFonts w:ascii="Arial" w:hAnsi="Arial" w:cs="Arial"/>
          <w:sz w:val="20"/>
          <w:szCs w:val="18"/>
        </w:rPr>
        <w:t>review</w:t>
      </w:r>
      <w:r w:rsidR="00766DAA" w:rsidRPr="009E376A">
        <w:rPr>
          <w:rFonts w:ascii="Arial" w:hAnsi="Arial" w:cs="Arial"/>
          <w:sz w:val="20"/>
          <w:szCs w:val="18"/>
        </w:rPr>
        <w:t xml:space="preserve"> purposes</w:t>
      </w:r>
      <w:r w:rsidRPr="009E376A">
        <w:rPr>
          <w:rFonts w:ascii="Arial" w:hAnsi="Arial" w:cs="Arial"/>
          <w:sz w:val="20"/>
          <w:szCs w:val="18"/>
        </w:rPr>
        <w:t>.</w:t>
      </w:r>
    </w:p>
    <w:p w:rsidR="003340CC" w:rsidRPr="009E376A" w:rsidRDefault="003340CC" w:rsidP="009E376A">
      <w:pPr>
        <w:pStyle w:val="BodyText3"/>
        <w:tabs>
          <w:tab w:val="clear" w:pos="8910"/>
        </w:tabs>
        <w:spacing w:after="240"/>
        <w:ind w:right="-18"/>
        <w:jc w:val="both"/>
        <w:rPr>
          <w:rFonts w:ascii="Arial" w:hAnsi="Arial" w:cs="Arial"/>
          <w:sz w:val="20"/>
          <w:szCs w:val="18"/>
        </w:rPr>
      </w:pPr>
      <w:r w:rsidRPr="009E376A">
        <w:rPr>
          <w:rFonts w:ascii="Arial" w:hAnsi="Arial" w:cs="Arial"/>
          <w:sz w:val="20"/>
          <w:szCs w:val="18"/>
        </w:rPr>
        <w:t>For group annuity policies, the Company should have individual policyholder’s deposits and the interests credited to the</w:t>
      </w:r>
      <w:r w:rsidR="005356B7" w:rsidRPr="009E376A">
        <w:rPr>
          <w:rFonts w:ascii="Arial" w:hAnsi="Arial" w:cs="Arial"/>
          <w:sz w:val="20"/>
          <w:szCs w:val="18"/>
        </w:rPr>
        <w:t>ir</w:t>
      </w:r>
      <w:r w:rsidRPr="009E376A">
        <w:rPr>
          <w:rFonts w:ascii="Arial" w:hAnsi="Arial" w:cs="Arial"/>
          <w:sz w:val="20"/>
          <w:szCs w:val="18"/>
        </w:rPr>
        <w:t xml:space="preserve"> individual policies</w:t>
      </w:r>
      <w:r w:rsidR="00AF29FE" w:rsidRPr="009E376A">
        <w:rPr>
          <w:rFonts w:ascii="Arial" w:hAnsi="Arial" w:cs="Arial"/>
          <w:sz w:val="20"/>
          <w:szCs w:val="18"/>
        </w:rPr>
        <w:t xml:space="preserve"> including any and all</w:t>
      </w:r>
      <w:r w:rsidRPr="009E376A">
        <w:rPr>
          <w:rFonts w:ascii="Arial" w:hAnsi="Arial" w:cs="Arial"/>
          <w:sz w:val="20"/>
          <w:szCs w:val="18"/>
        </w:rPr>
        <w:t xml:space="preserve"> fees and/or charges </w:t>
      </w:r>
      <w:r w:rsidR="00AF29FE" w:rsidRPr="009E376A">
        <w:rPr>
          <w:rFonts w:ascii="Arial" w:hAnsi="Arial" w:cs="Arial"/>
          <w:sz w:val="20"/>
          <w:szCs w:val="18"/>
        </w:rPr>
        <w:t xml:space="preserve">that </w:t>
      </w:r>
      <w:r w:rsidRPr="009E376A">
        <w:rPr>
          <w:rFonts w:ascii="Arial" w:hAnsi="Arial" w:cs="Arial"/>
          <w:sz w:val="20"/>
          <w:szCs w:val="18"/>
        </w:rPr>
        <w:t xml:space="preserve">have been collected and withdrawn from these policyholders’ accounts over the accumulation years.  Thus, other “out of pocket” fees paid separately in addition to premiums paid by each of these individuals plus the interest accumulated up-to-date of annuitization should be the ultimate basis on the amount of annuity considerations subject to premium tax. </w:t>
      </w:r>
    </w:p>
    <w:p w:rsidR="00E057D5" w:rsidRPr="009E376A" w:rsidRDefault="00E057D5" w:rsidP="009E376A">
      <w:pPr>
        <w:spacing w:after="240"/>
        <w:jc w:val="both"/>
        <w:rPr>
          <w:rFonts w:ascii="Arial" w:hAnsi="Arial" w:cs="Arial"/>
          <w:szCs w:val="18"/>
        </w:rPr>
      </w:pPr>
      <w:r w:rsidRPr="009E376A">
        <w:rPr>
          <w:rFonts w:ascii="Arial" w:hAnsi="Arial" w:cs="Arial"/>
          <w:szCs w:val="18"/>
        </w:rPr>
        <w:t xml:space="preserve">FUNDS RETURNED PRIOR TO ANNUITIZATION DATE:  This applies only to deferred annuities when premium taxes are paid on the “front-end” basis.  Payments made by the policyholders and reported by the Company as taxable annuity premiums can only be included as returned premiums.  For example, if a policyholder purchases a ten-year period policy and pays $1,000 each year, after the fifth year decides to surrender the policy, the amount to be reported as returned premiums should only be $5,000, which is the actual premiums paid by the policyholder during the </w:t>
      </w:r>
      <w:r w:rsidR="00F2053E" w:rsidRPr="009E376A">
        <w:rPr>
          <w:rFonts w:ascii="Arial" w:hAnsi="Arial" w:cs="Arial"/>
          <w:szCs w:val="18"/>
        </w:rPr>
        <w:t>five-year</w:t>
      </w:r>
      <w:r w:rsidRPr="009E376A">
        <w:rPr>
          <w:rFonts w:ascii="Arial" w:hAnsi="Arial" w:cs="Arial"/>
          <w:szCs w:val="18"/>
        </w:rPr>
        <w:t xml:space="preserve"> period prior to annuitization.</w:t>
      </w:r>
    </w:p>
    <w:p w:rsidR="003340CC" w:rsidRPr="009E376A" w:rsidRDefault="003340CC" w:rsidP="009E376A">
      <w:pPr>
        <w:spacing w:after="240"/>
        <w:jc w:val="both"/>
        <w:rPr>
          <w:rFonts w:ascii="Arial" w:hAnsi="Arial" w:cs="Arial"/>
          <w:szCs w:val="18"/>
        </w:rPr>
      </w:pPr>
      <w:r w:rsidRPr="009E376A">
        <w:rPr>
          <w:rFonts w:ascii="Arial" w:hAnsi="Arial" w:cs="Arial"/>
          <w:szCs w:val="18"/>
        </w:rPr>
        <w:t>In any case, if the Company can not provide proper supporting documentation with sufficient information considering the example below to justify what was reported on the premium tax return, the amount reported as funds deposited for annuities will be considered as Taxable Annuity Considerations.</w:t>
      </w:r>
    </w:p>
    <w:p w:rsidR="009E376A" w:rsidRPr="00F2053E" w:rsidRDefault="009E376A">
      <w:pPr>
        <w:jc w:val="both"/>
        <w:rPr>
          <w:rFonts w:ascii="Arial" w:hAnsi="Arial" w:cs="Arial"/>
          <w:b/>
          <w:szCs w:val="18"/>
        </w:rPr>
      </w:pPr>
      <w:r w:rsidRPr="00F2053E">
        <w:rPr>
          <w:rFonts w:ascii="Arial" w:hAnsi="Arial" w:cs="Arial"/>
          <w:b/>
          <w:szCs w:val="18"/>
        </w:rPr>
        <w:t>Example:</w:t>
      </w:r>
    </w:p>
    <w:tbl>
      <w:tblPr>
        <w:tblStyle w:val="TableGrid"/>
        <w:tblW w:w="0" w:type="auto"/>
        <w:tblLook w:val="04A0" w:firstRow="1" w:lastRow="0" w:firstColumn="1" w:lastColumn="0" w:noHBand="0" w:noVBand="1"/>
      </w:tblPr>
      <w:tblGrid>
        <w:gridCol w:w="1278"/>
        <w:gridCol w:w="1350"/>
        <w:gridCol w:w="1740"/>
        <w:gridCol w:w="1740"/>
        <w:gridCol w:w="2550"/>
        <w:gridCol w:w="1740"/>
      </w:tblGrid>
      <w:tr w:rsidR="009E376A" w:rsidRPr="00F2053E" w:rsidTr="009E376A">
        <w:tc>
          <w:tcPr>
            <w:tcW w:w="1278" w:type="dxa"/>
          </w:tcPr>
          <w:p w:rsidR="009E376A" w:rsidRPr="00F2053E" w:rsidRDefault="009E376A" w:rsidP="009E376A">
            <w:pPr>
              <w:jc w:val="center"/>
              <w:rPr>
                <w:rFonts w:ascii="Arial" w:hAnsi="Arial" w:cs="Arial"/>
                <w:b/>
                <w:szCs w:val="18"/>
              </w:rPr>
            </w:pPr>
            <w:r w:rsidRPr="00F2053E">
              <w:rPr>
                <w:rFonts w:ascii="Arial" w:hAnsi="Arial" w:cs="Arial"/>
                <w:b/>
                <w:szCs w:val="18"/>
              </w:rPr>
              <w:t>Issue State</w:t>
            </w:r>
          </w:p>
        </w:tc>
        <w:tc>
          <w:tcPr>
            <w:tcW w:w="1350" w:type="dxa"/>
          </w:tcPr>
          <w:p w:rsidR="009E376A" w:rsidRPr="00F2053E" w:rsidRDefault="009E376A" w:rsidP="009E376A">
            <w:pPr>
              <w:jc w:val="center"/>
              <w:rPr>
                <w:rFonts w:ascii="Arial" w:hAnsi="Arial" w:cs="Arial"/>
                <w:b/>
                <w:szCs w:val="18"/>
              </w:rPr>
            </w:pPr>
            <w:r w:rsidRPr="00F2053E">
              <w:rPr>
                <w:rFonts w:ascii="Arial" w:hAnsi="Arial" w:cs="Arial"/>
                <w:b/>
                <w:szCs w:val="18"/>
              </w:rPr>
              <w:t>Policy No.</w:t>
            </w:r>
          </w:p>
        </w:tc>
        <w:tc>
          <w:tcPr>
            <w:tcW w:w="1740" w:type="dxa"/>
          </w:tcPr>
          <w:p w:rsidR="009E376A" w:rsidRPr="00F2053E" w:rsidRDefault="009E376A" w:rsidP="009E376A">
            <w:pPr>
              <w:jc w:val="center"/>
              <w:rPr>
                <w:rFonts w:ascii="Arial" w:hAnsi="Arial" w:cs="Arial"/>
                <w:b/>
                <w:szCs w:val="18"/>
              </w:rPr>
            </w:pPr>
            <w:r w:rsidRPr="00F2053E">
              <w:rPr>
                <w:rFonts w:ascii="Arial" w:hAnsi="Arial" w:cs="Arial"/>
                <w:b/>
                <w:szCs w:val="18"/>
              </w:rPr>
              <w:t>SPDA Date</w:t>
            </w:r>
          </w:p>
        </w:tc>
        <w:tc>
          <w:tcPr>
            <w:tcW w:w="1740" w:type="dxa"/>
          </w:tcPr>
          <w:p w:rsidR="009E376A" w:rsidRPr="00F2053E" w:rsidRDefault="009E376A" w:rsidP="009E376A">
            <w:pPr>
              <w:jc w:val="center"/>
              <w:rPr>
                <w:rFonts w:ascii="Arial" w:hAnsi="Arial" w:cs="Arial"/>
                <w:b/>
                <w:szCs w:val="18"/>
              </w:rPr>
            </w:pPr>
            <w:r w:rsidRPr="00F2053E">
              <w:rPr>
                <w:rFonts w:ascii="Arial" w:hAnsi="Arial" w:cs="Arial"/>
                <w:b/>
                <w:szCs w:val="18"/>
              </w:rPr>
              <w:t>Accumulation Value</w:t>
            </w:r>
          </w:p>
        </w:tc>
        <w:tc>
          <w:tcPr>
            <w:tcW w:w="2550" w:type="dxa"/>
          </w:tcPr>
          <w:p w:rsidR="009E376A" w:rsidRPr="00F2053E" w:rsidRDefault="009E376A" w:rsidP="009E376A">
            <w:pPr>
              <w:jc w:val="center"/>
              <w:rPr>
                <w:rFonts w:ascii="Arial" w:hAnsi="Arial" w:cs="Arial"/>
                <w:b/>
                <w:szCs w:val="18"/>
              </w:rPr>
            </w:pPr>
            <w:r w:rsidRPr="00F2053E">
              <w:rPr>
                <w:rFonts w:ascii="Arial" w:hAnsi="Arial" w:cs="Arial"/>
                <w:b/>
                <w:szCs w:val="18"/>
              </w:rPr>
              <w:t>Date of Annuitization</w:t>
            </w:r>
          </w:p>
          <w:p w:rsidR="009E376A" w:rsidRPr="00F2053E" w:rsidRDefault="009E376A" w:rsidP="009E376A">
            <w:pPr>
              <w:jc w:val="center"/>
              <w:rPr>
                <w:rFonts w:ascii="Arial" w:hAnsi="Arial" w:cs="Arial"/>
                <w:b/>
                <w:szCs w:val="18"/>
              </w:rPr>
            </w:pPr>
            <w:r w:rsidRPr="00F2053E">
              <w:rPr>
                <w:rFonts w:ascii="Arial" w:hAnsi="Arial" w:cs="Arial"/>
                <w:b/>
                <w:szCs w:val="18"/>
              </w:rPr>
              <w:t>(Paid-For Date)</w:t>
            </w:r>
          </w:p>
        </w:tc>
        <w:tc>
          <w:tcPr>
            <w:tcW w:w="1740" w:type="dxa"/>
          </w:tcPr>
          <w:p w:rsidR="009E376A" w:rsidRPr="00F2053E" w:rsidRDefault="009E376A" w:rsidP="009E376A">
            <w:pPr>
              <w:jc w:val="center"/>
              <w:rPr>
                <w:rFonts w:ascii="Arial" w:hAnsi="Arial" w:cs="Arial"/>
                <w:b/>
                <w:szCs w:val="18"/>
              </w:rPr>
            </w:pPr>
            <w:r w:rsidRPr="00F2053E">
              <w:rPr>
                <w:rFonts w:ascii="Arial" w:hAnsi="Arial" w:cs="Arial"/>
                <w:b/>
                <w:szCs w:val="18"/>
              </w:rPr>
              <w:t>Q/NQ Indicator</w:t>
            </w:r>
          </w:p>
        </w:tc>
      </w:tr>
      <w:tr w:rsidR="009E376A" w:rsidRPr="009E376A" w:rsidTr="009E376A">
        <w:tc>
          <w:tcPr>
            <w:tcW w:w="1278" w:type="dxa"/>
          </w:tcPr>
          <w:p w:rsidR="009E376A" w:rsidRPr="009E376A" w:rsidRDefault="009E376A" w:rsidP="009E376A">
            <w:pPr>
              <w:jc w:val="center"/>
              <w:rPr>
                <w:rFonts w:ascii="Arial" w:hAnsi="Arial" w:cs="Arial"/>
                <w:szCs w:val="18"/>
              </w:rPr>
            </w:pPr>
            <w:r w:rsidRPr="009E376A">
              <w:rPr>
                <w:rFonts w:ascii="Arial" w:hAnsi="Arial" w:cs="Arial"/>
                <w:szCs w:val="18"/>
              </w:rPr>
              <w:t>CA</w:t>
            </w:r>
          </w:p>
        </w:tc>
        <w:tc>
          <w:tcPr>
            <w:tcW w:w="1350" w:type="dxa"/>
          </w:tcPr>
          <w:p w:rsidR="009E376A" w:rsidRPr="009E376A" w:rsidRDefault="009E376A" w:rsidP="009E376A">
            <w:pPr>
              <w:jc w:val="center"/>
              <w:rPr>
                <w:rFonts w:ascii="Arial" w:hAnsi="Arial" w:cs="Arial"/>
                <w:szCs w:val="18"/>
              </w:rPr>
            </w:pPr>
            <w:r w:rsidRPr="009E376A">
              <w:rPr>
                <w:rFonts w:ascii="Arial" w:hAnsi="Arial" w:cs="Arial"/>
                <w:szCs w:val="18"/>
              </w:rPr>
              <w:t>A11111</w:t>
            </w:r>
          </w:p>
        </w:tc>
        <w:tc>
          <w:tcPr>
            <w:tcW w:w="1740" w:type="dxa"/>
          </w:tcPr>
          <w:p w:rsidR="009E376A" w:rsidRPr="009E376A" w:rsidRDefault="009E376A" w:rsidP="009E376A">
            <w:pPr>
              <w:jc w:val="center"/>
              <w:rPr>
                <w:rFonts w:ascii="Arial" w:hAnsi="Arial" w:cs="Arial"/>
                <w:szCs w:val="18"/>
              </w:rPr>
            </w:pPr>
            <w:r w:rsidRPr="009E376A">
              <w:rPr>
                <w:rFonts w:ascii="Arial" w:hAnsi="Arial" w:cs="Arial"/>
                <w:szCs w:val="18"/>
              </w:rPr>
              <w:t>11/11/88</w:t>
            </w:r>
          </w:p>
        </w:tc>
        <w:tc>
          <w:tcPr>
            <w:tcW w:w="1740" w:type="dxa"/>
          </w:tcPr>
          <w:p w:rsidR="009E376A" w:rsidRPr="009E376A" w:rsidRDefault="009E376A" w:rsidP="009E376A">
            <w:pPr>
              <w:jc w:val="center"/>
              <w:rPr>
                <w:rFonts w:ascii="Arial" w:hAnsi="Arial" w:cs="Arial"/>
                <w:szCs w:val="18"/>
              </w:rPr>
            </w:pPr>
            <w:r w:rsidRPr="009E376A">
              <w:rPr>
                <w:rFonts w:ascii="Arial" w:hAnsi="Arial" w:cs="Arial"/>
                <w:szCs w:val="18"/>
              </w:rPr>
              <w:t>$   $$$,$$$</w:t>
            </w:r>
          </w:p>
        </w:tc>
        <w:tc>
          <w:tcPr>
            <w:tcW w:w="2550" w:type="dxa"/>
          </w:tcPr>
          <w:p w:rsidR="009E376A" w:rsidRPr="009E376A" w:rsidRDefault="009E376A" w:rsidP="009E376A">
            <w:pPr>
              <w:jc w:val="center"/>
              <w:rPr>
                <w:rFonts w:ascii="Arial" w:hAnsi="Arial" w:cs="Arial"/>
                <w:szCs w:val="18"/>
              </w:rPr>
            </w:pPr>
            <w:r w:rsidRPr="009E376A">
              <w:rPr>
                <w:rFonts w:ascii="Arial" w:hAnsi="Arial" w:cs="Arial"/>
                <w:szCs w:val="18"/>
              </w:rPr>
              <w:t>XX/XX/20XX</w:t>
            </w:r>
          </w:p>
        </w:tc>
        <w:tc>
          <w:tcPr>
            <w:tcW w:w="1740" w:type="dxa"/>
          </w:tcPr>
          <w:p w:rsidR="009E376A" w:rsidRPr="009E376A" w:rsidRDefault="009E376A" w:rsidP="009E376A">
            <w:pPr>
              <w:jc w:val="center"/>
              <w:rPr>
                <w:rFonts w:ascii="Arial" w:hAnsi="Arial" w:cs="Arial"/>
                <w:szCs w:val="18"/>
              </w:rPr>
            </w:pPr>
            <w:r w:rsidRPr="009E376A">
              <w:rPr>
                <w:rFonts w:ascii="Arial" w:hAnsi="Arial" w:cs="Arial"/>
                <w:szCs w:val="18"/>
              </w:rPr>
              <w:t>N</w:t>
            </w:r>
          </w:p>
        </w:tc>
      </w:tr>
    </w:tbl>
    <w:p w:rsidR="003340CC" w:rsidRPr="009E376A" w:rsidRDefault="003340CC" w:rsidP="00F2053E">
      <w:pPr>
        <w:ind w:left="540" w:hanging="540"/>
        <w:jc w:val="both"/>
        <w:rPr>
          <w:rFonts w:ascii="Arial" w:hAnsi="Arial" w:cs="Arial"/>
          <w:szCs w:val="18"/>
        </w:rPr>
      </w:pPr>
      <w:r w:rsidRPr="009E376A">
        <w:rPr>
          <w:rFonts w:ascii="Arial" w:hAnsi="Arial" w:cs="Arial"/>
          <w:szCs w:val="18"/>
        </w:rPr>
        <w:t>Note:</w:t>
      </w:r>
      <w:r w:rsidR="00F2053E">
        <w:rPr>
          <w:rFonts w:ascii="Arial" w:hAnsi="Arial" w:cs="Arial"/>
          <w:szCs w:val="18"/>
        </w:rPr>
        <w:t xml:space="preserve"> </w:t>
      </w:r>
      <w:r w:rsidRPr="009E376A">
        <w:rPr>
          <w:rFonts w:ascii="Arial" w:hAnsi="Arial" w:cs="Arial"/>
          <w:i/>
          <w:szCs w:val="18"/>
        </w:rPr>
        <w:t>Procedure for documentation and reporting is proposed based on the Revenue and Taxation Code Section 13170.</w:t>
      </w:r>
    </w:p>
    <w:sectPr w:rsidR="003340CC" w:rsidRPr="009E376A" w:rsidSect="007F4279">
      <w:headerReference w:type="default" r:id="rId8"/>
      <w:footerReference w:type="even" r:id="rId9"/>
      <w:footerReference w:type="default" r:id="rId10"/>
      <w:pgSz w:w="12240" w:h="15840"/>
      <w:pgMar w:top="720" w:right="1008" w:bottom="1440" w:left="1008" w:header="36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A17" w:rsidRDefault="005F3A17">
      <w:r>
        <w:separator/>
      </w:r>
    </w:p>
  </w:endnote>
  <w:endnote w:type="continuationSeparator" w:id="0">
    <w:p w:rsidR="005F3A17" w:rsidRDefault="005F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Default="00475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0BF" w:rsidRDefault="00475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Default="004750BF" w:rsidP="007F4279">
    <w:pPr>
      <w:pStyle w:val="zzTrailerDocName"/>
    </w:pPr>
    <w:r w:rsidRPr="007F4279">
      <w:t>Page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7E5DBF">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7E5DBF">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A17" w:rsidRDefault="005F3A17">
      <w:r>
        <w:separator/>
      </w:r>
    </w:p>
  </w:footnote>
  <w:footnote w:type="continuationSeparator" w:id="0">
    <w:p w:rsidR="005F3A17" w:rsidRDefault="005F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Pr="00126947" w:rsidRDefault="004750BF" w:rsidP="00126947">
    <w:pPr>
      <w:pStyle w:val="Header"/>
      <w:tabs>
        <w:tab w:val="clear" w:pos="4320"/>
        <w:tab w:val="clear" w:pos="8640"/>
        <w:tab w:val="left" w:pos="8190"/>
      </w:tabs>
      <w:rPr>
        <w:rFonts w:ascii="Arial" w:hAnsi="Arial"/>
        <w:sz w:val="18"/>
        <w:szCs w:val="18"/>
      </w:rPr>
    </w:pPr>
    <w:r w:rsidRPr="00126947">
      <w:rPr>
        <w:rFonts w:ascii="Arial" w:hAnsi="Arial"/>
        <w:sz w:val="18"/>
        <w:szCs w:val="18"/>
      </w:rPr>
      <w:t xml:space="preserve">State of California </w:t>
    </w:r>
    <w:r w:rsidRPr="00126947">
      <w:rPr>
        <w:rFonts w:ascii="Arial" w:hAnsi="Arial"/>
        <w:sz w:val="18"/>
        <w:szCs w:val="18"/>
      </w:rPr>
      <w:tab/>
      <w:t>Department of Insurance</w:t>
    </w:r>
  </w:p>
  <w:p w:rsidR="004750BF" w:rsidRPr="00126947" w:rsidRDefault="004750BF">
    <w:pPr>
      <w:pStyle w:val="Header"/>
      <w:rPr>
        <w:rFonts w:ascii="Arial" w:hAnsi="Arial"/>
        <w:b/>
        <w:color w:val="000000"/>
        <w:sz w:val="18"/>
        <w:szCs w:val="18"/>
      </w:rPr>
    </w:pPr>
    <w:r w:rsidRPr="00126947">
      <w:rPr>
        <w:rFonts w:ascii="Arial" w:hAnsi="Arial"/>
        <w:b/>
        <w:color w:val="000000"/>
        <w:sz w:val="18"/>
        <w:szCs w:val="18"/>
      </w:rPr>
      <w:t>LIFE COMPANIES INCLUDING ACCIDENT AND HEALTH INSURANCE TAX RETURN</w:t>
    </w:r>
  </w:p>
  <w:p w:rsidR="004750BF" w:rsidRPr="00126947" w:rsidRDefault="004750BF">
    <w:pPr>
      <w:pStyle w:val="Header"/>
      <w:rPr>
        <w:rFonts w:ascii="Arial" w:hAnsi="Arial"/>
        <w:sz w:val="18"/>
        <w:szCs w:val="18"/>
      </w:rPr>
    </w:pPr>
    <w:r w:rsidRPr="00126947">
      <w:rPr>
        <w:rFonts w:ascii="Arial" w:hAnsi="Arial"/>
        <w:sz w:val="18"/>
        <w:szCs w:val="18"/>
      </w:rPr>
      <w:t xml:space="preserve">CDI FS-002 (REV </w:t>
    </w:r>
    <w:r w:rsidR="007F4279" w:rsidRPr="00126947">
      <w:rPr>
        <w:rFonts w:ascii="Arial" w:hAnsi="Arial"/>
        <w:sz w:val="18"/>
        <w:szCs w:val="18"/>
      </w:rPr>
      <w:t>10</w:t>
    </w:r>
    <w:r w:rsidR="00C65A41" w:rsidRPr="00126947">
      <w:rPr>
        <w:rFonts w:ascii="Arial" w:hAnsi="Arial"/>
        <w:sz w:val="18"/>
        <w:szCs w:val="18"/>
      </w:rPr>
      <w:t>/201</w:t>
    </w:r>
    <w:r w:rsidR="009E376A" w:rsidRPr="00126947">
      <w:rPr>
        <w:rFonts w:ascii="Arial" w:hAnsi="Arial"/>
        <w:sz w:val="18"/>
        <w:szCs w:val="18"/>
      </w:rPr>
      <w:t>9</w:t>
    </w:r>
    <w:r w:rsidRPr="00126947">
      <w:rPr>
        <w:rFonts w:ascii="Arial" w:hAnsi="Arial"/>
        <w:sz w:val="18"/>
        <w:szCs w:val="18"/>
      </w:rPr>
      <w:t>)</w:t>
    </w:r>
  </w:p>
  <w:p w:rsidR="004750BF" w:rsidRDefault="004750BF">
    <w:pPr>
      <w:pStyle w:val="Header"/>
      <w:tabs>
        <w:tab w:val="clear" w:pos="4320"/>
        <w:tab w:val="clear" w:pos="8640"/>
      </w:tabs>
      <w:jc w:val="right"/>
      <w:rPr>
        <w:rFonts w:ascii="Arial" w:hAnsi="Arial"/>
        <w:b/>
        <w:sz w:val="10"/>
      </w:rPr>
    </w:pPr>
  </w:p>
  <w:p w:rsidR="004750BF" w:rsidRDefault="00475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7D2D"/>
    <w:multiLevelType w:val="singleLevel"/>
    <w:tmpl w:val="0C30064A"/>
    <w:lvl w:ilvl="0">
      <w:start w:val="1"/>
      <w:numFmt w:val="upperLetter"/>
      <w:lvlText w:val="%1."/>
      <w:lvlJc w:val="left"/>
      <w:pPr>
        <w:tabs>
          <w:tab w:val="num" w:pos="720"/>
        </w:tabs>
        <w:ind w:left="720" w:hanging="720"/>
      </w:pPr>
      <w:rPr>
        <w:rFonts w:hint="default"/>
      </w:rPr>
    </w:lvl>
  </w:abstractNum>
  <w:abstractNum w:abstractNumId="1" w15:restartNumberingAfterBreak="0">
    <w:nsid w:val="65E378F3"/>
    <w:multiLevelType w:val="hybridMultilevel"/>
    <w:tmpl w:val="C944CBC0"/>
    <w:lvl w:ilvl="0" w:tplc="3FBEB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3340CC"/>
    <w:rsid w:val="0006240E"/>
    <w:rsid w:val="000E3E12"/>
    <w:rsid w:val="00126947"/>
    <w:rsid w:val="00133AF2"/>
    <w:rsid w:val="00135BD1"/>
    <w:rsid w:val="00181C00"/>
    <w:rsid w:val="0018409D"/>
    <w:rsid w:val="0023062C"/>
    <w:rsid w:val="0023539E"/>
    <w:rsid w:val="002C18CF"/>
    <w:rsid w:val="002C210A"/>
    <w:rsid w:val="002E1083"/>
    <w:rsid w:val="002E5D60"/>
    <w:rsid w:val="00301F08"/>
    <w:rsid w:val="003340CC"/>
    <w:rsid w:val="003A2397"/>
    <w:rsid w:val="003C775C"/>
    <w:rsid w:val="003D788A"/>
    <w:rsid w:val="0042604A"/>
    <w:rsid w:val="00474654"/>
    <w:rsid w:val="004750BF"/>
    <w:rsid w:val="005356B7"/>
    <w:rsid w:val="005F3A17"/>
    <w:rsid w:val="006506BF"/>
    <w:rsid w:val="006F4413"/>
    <w:rsid w:val="00721845"/>
    <w:rsid w:val="00745A85"/>
    <w:rsid w:val="00766DAA"/>
    <w:rsid w:val="007D2B41"/>
    <w:rsid w:val="007E5DBF"/>
    <w:rsid w:val="007F4279"/>
    <w:rsid w:val="00830F77"/>
    <w:rsid w:val="008825B5"/>
    <w:rsid w:val="008C2C33"/>
    <w:rsid w:val="00915888"/>
    <w:rsid w:val="0096770E"/>
    <w:rsid w:val="00987FFE"/>
    <w:rsid w:val="009D77E8"/>
    <w:rsid w:val="009E376A"/>
    <w:rsid w:val="00A40FD3"/>
    <w:rsid w:val="00A54F98"/>
    <w:rsid w:val="00A71291"/>
    <w:rsid w:val="00A844DE"/>
    <w:rsid w:val="00A90606"/>
    <w:rsid w:val="00AF29FE"/>
    <w:rsid w:val="00B3555C"/>
    <w:rsid w:val="00BA1103"/>
    <w:rsid w:val="00BC479B"/>
    <w:rsid w:val="00C10080"/>
    <w:rsid w:val="00C65A41"/>
    <w:rsid w:val="00C87701"/>
    <w:rsid w:val="00CD5F41"/>
    <w:rsid w:val="00CF7359"/>
    <w:rsid w:val="00D17364"/>
    <w:rsid w:val="00D2475E"/>
    <w:rsid w:val="00D32C5A"/>
    <w:rsid w:val="00D96EC2"/>
    <w:rsid w:val="00DC3451"/>
    <w:rsid w:val="00E057D5"/>
    <w:rsid w:val="00E63E62"/>
    <w:rsid w:val="00E942C2"/>
    <w:rsid w:val="00EC6402"/>
    <w:rsid w:val="00F00201"/>
    <w:rsid w:val="00F2053E"/>
    <w:rsid w:val="00F6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A4125AD-297C-42D4-9C91-4CECF41D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9360"/>
      </w:tabs>
      <w:ind w:right="-1195"/>
      <w:outlineLvl w:val="0"/>
    </w:pPr>
    <w:rPr>
      <w:rFonts w:ascii="Lucida Handwriting" w:hAnsi="Lucida Handwriting"/>
      <w:sz w:val="24"/>
    </w:rPr>
  </w:style>
  <w:style w:type="paragraph" w:styleId="Heading2">
    <w:name w:val="heading 2"/>
    <w:basedOn w:val="Normal"/>
    <w:next w:val="Normal"/>
    <w:qFormat/>
    <w:pPr>
      <w:keepNext/>
      <w:ind w:left="-1170" w:right="-925"/>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odyText2">
    <w:name w:val="Body Text 2"/>
    <w:basedOn w:val="Normal"/>
    <w:link w:val="BodyText2Char"/>
    <w:pPr>
      <w:jc w:val="center"/>
    </w:pPr>
    <w:rPr>
      <w:b/>
      <w:sz w:val="28"/>
    </w:rPr>
  </w:style>
  <w:style w:type="paragraph" w:styleId="BodyTextIndent">
    <w:name w:val="Body Text Indent"/>
    <w:basedOn w:val="Normal"/>
    <w:pPr>
      <w:ind w:left="720"/>
    </w:pPr>
    <w:rPr>
      <w:sz w:val="24"/>
    </w:rPr>
  </w:style>
  <w:style w:type="paragraph" w:styleId="BlockText">
    <w:name w:val="Block Text"/>
    <w:basedOn w:val="Normal"/>
    <w:pPr>
      <w:tabs>
        <w:tab w:val="left" w:pos="9360"/>
      </w:tabs>
      <w:ind w:left="720" w:right="414"/>
    </w:pPr>
    <w:rPr>
      <w:sz w:val="24"/>
    </w:rPr>
  </w:style>
  <w:style w:type="paragraph" w:styleId="BodyText3">
    <w:name w:val="Body Text 3"/>
    <w:basedOn w:val="Normal"/>
    <w:pPr>
      <w:tabs>
        <w:tab w:val="left" w:pos="8910"/>
      </w:tabs>
      <w:ind w:right="504"/>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750BF"/>
    <w:rPr>
      <w:rFonts w:ascii="Tahoma" w:hAnsi="Tahoma" w:cs="Tahoma"/>
      <w:sz w:val="16"/>
      <w:szCs w:val="16"/>
    </w:rPr>
  </w:style>
  <w:style w:type="character" w:customStyle="1" w:styleId="BalloonTextChar">
    <w:name w:val="Balloon Text Char"/>
    <w:link w:val="BalloonText"/>
    <w:rsid w:val="004750BF"/>
    <w:rPr>
      <w:rFonts w:ascii="Tahoma" w:hAnsi="Tahoma" w:cs="Tahoma"/>
      <w:sz w:val="16"/>
      <w:szCs w:val="16"/>
    </w:rPr>
  </w:style>
  <w:style w:type="paragraph" w:styleId="Revision">
    <w:name w:val="Revision"/>
    <w:hidden/>
    <w:uiPriority w:val="99"/>
    <w:semiHidden/>
    <w:rsid w:val="00A71291"/>
  </w:style>
  <w:style w:type="paragraph" w:customStyle="1" w:styleId="zzTrailerDocName">
    <w:name w:val="zzTrailerDocName"/>
    <w:basedOn w:val="BodyText2"/>
    <w:link w:val="zzTrailerDocNameChar"/>
    <w:rsid w:val="00C10080"/>
    <w:pPr>
      <w:jc w:val="left"/>
    </w:pPr>
    <w:rPr>
      <w:rFonts w:ascii="Arial" w:hAnsi="Arial" w:cs="Arial"/>
      <w:b w:val="0"/>
      <w:sz w:val="16"/>
    </w:rPr>
  </w:style>
  <w:style w:type="character" w:customStyle="1" w:styleId="BodyText2Char">
    <w:name w:val="Body Text 2 Char"/>
    <w:link w:val="BodyText2"/>
    <w:rsid w:val="00C10080"/>
    <w:rPr>
      <w:b/>
      <w:sz w:val="28"/>
    </w:rPr>
  </w:style>
  <w:style w:type="character" w:customStyle="1" w:styleId="zzTrailerDocNameChar">
    <w:name w:val="zzTrailerDocName Char"/>
    <w:link w:val="zzTrailerDocName"/>
    <w:rsid w:val="00C10080"/>
    <w:rPr>
      <w:rFonts w:ascii="Arial" w:hAnsi="Arial" w:cs="Arial"/>
      <w:b w:val="0"/>
      <w:sz w:val="16"/>
    </w:rPr>
  </w:style>
  <w:style w:type="table" w:styleId="TableGrid">
    <w:name w:val="Table Grid"/>
    <w:basedOn w:val="TableNormal"/>
    <w:rsid w:val="009E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E6E9-6E89-4A05-88C1-EA26998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2019 LIFE COMPANIES INCLUDING ACCIDENT AND HEALTH INSURANCE TAX RETURN ATTACHMENT B</vt:lpstr>
    </vt:vector>
  </TitlesOfParts>
  <Company>Dept. of Insurance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LIFE COMPANIES INCLUDING ACCIDENT AND HEALTH INSURANCE TAX RETURN ATTACHMENT B</dc:title>
  <dc:creator>Department of Insurance</dc:creator>
  <cp:keywords>CDI FS-002 REPORTING TAXABLE ANNUITY CONSIDERATIONS</cp:keywords>
  <cp:lastModifiedBy>Yan, Mimi</cp:lastModifiedBy>
  <cp:revision>5</cp:revision>
  <cp:lastPrinted>2018-10-09T17:43:00Z</cp:lastPrinted>
  <dcterms:created xsi:type="dcterms:W3CDTF">2019-06-21T21:33:00Z</dcterms:created>
  <dcterms:modified xsi:type="dcterms:W3CDTF">2019-12-06T20:17:00Z</dcterms:modified>
</cp:coreProperties>
</file>