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21" w:rsidRDefault="001F2A21">
      <w:pPr>
        <w:pStyle w:val="Title"/>
      </w:pPr>
      <w:r>
        <w:t>20</w:t>
      </w:r>
      <w:r w:rsidR="00305E7B">
        <w:t>1</w:t>
      </w:r>
      <w:r w:rsidR="0001099F">
        <w:t>5</w:t>
      </w:r>
      <w:r>
        <w:t xml:space="preserve"> SURPLUS LINE TAX CALENDAR</w:t>
      </w:r>
    </w:p>
    <w:p w:rsidR="001F2A21" w:rsidRDefault="001F2A21">
      <w:pPr>
        <w:jc w:val="center"/>
        <w:rPr>
          <w:rFonts w:ascii="Arial" w:hAnsi="Arial"/>
        </w:rPr>
      </w:pPr>
    </w:p>
    <w:p w:rsidR="001F2A21" w:rsidRDefault="001F2A21">
      <w:pPr>
        <w:rPr>
          <w:rFonts w:ascii="Arial" w:hAnsi="Arial"/>
          <w:b/>
        </w:rPr>
      </w:pPr>
      <w:r>
        <w:rPr>
          <w:rFonts w:ascii="Arial" w:hAnsi="Arial"/>
          <w:b/>
        </w:rPr>
        <w:t xml:space="preserve">NOTICE TO ALL SURPLUS LINE BROKERS SUBJECT TO TAXATION PURSUANT TO SECTION 1774 ET. SEQ. OF THE INSURANCE CODE OF THE STATE OF </w:t>
      </w:r>
      <w:smartTag w:uri="urn:schemas-microsoft-com:office:smarttags" w:element="place">
        <w:smartTag w:uri="urn:schemas-microsoft-com:office:smarttags" w:element="State">
          <w:r>
            <w:rPr>
              <w:rFonts w:ascii="Arial" w:hAnsi="Arial"/>
              <w:b/>
            </w:rPr>
            <w:t>CALIFORNIA</w:t>
          </w:r>
        </w:smartTag>
      </w:smartTag>
    </w:p>
    <w:p w:rsidR="001F2A21" w:rsidRDefault="001F2A21">
      <w:pPr>
        <w:rPr>
          <w:rFonts w:ascii="Arial" w:hAnsi="Arial"/>
          <w:b/>
        </w:rPr>
      </w:pPr>
    </w:p>
    <w:p w:rsidR="001F2A21" w:rsidRDefault="001F2A21">
      <w:pPr>
        <w:rPr>
          <w:rFonts w:ascii="Arial" w:hAnsi="Arial"/>
        </w:rPr>
      </w:pPr>
      <w:r>
        <w:rPr>
          <w:rFonts w:ascii="Arial" w:hAnsi="Arial"/>
        </w:rPr>
        <w:t>Brokers whose preceding year’s tax liability was $</w:t>
      </w:r>
      <w:r w:rsidR="0001099F">
        <w:rPr>
          <w:rFonts w:ascii="Arial" w:hAnsi="Arial"/>
        </w:rPr>
        <w:t>20</w:t>
      </w:r>
      <w:r>
        <w:rPr>
          <w:rFonts w:ascii="Arial" w:hAnsi="Arial"/>
        </w:rPr>
        <w:t>,000 or more are required to pay the tax on business transacted each month pursuant to the California Insurance Code Section 1775.1.  Use the following schedule to file monthly tax payment vouchers and to remit tax due:</w:t>
      </w:r>
    </w:p>
    <w:tbl>
      <w:tblPr>
        <w:tblW w:w="7014" w:type="dxa"/>
        <w:tblInd w:w="1332" w:type="dxa"/>
        <w:tblLook w:val="04A0" w:firstRow="1" w:lastRow="0" w:firstColumn="1" w:lastColumn="0" w:noHBand="0" w:noVBand="1"/>
      </w:tblPr>
      <w:tblGrid>
        <w:gridCol w:w="222"/>
        <w:gridCol w:w="1564"/>
        <w:gridCol w:w="736"/>
        <w:gridCol w:w="1684"/>
        <w:gridCol w:w="2586"/>
        <w:gridCol w:w="222"/>
      </w:tblGrid>
      <w:tr w:rsidR="00C72D57" w:rsidRPr="00C72D57" w:rsidTr="00C72D57">
        <w:trPr>
          <w:trHeight w:val="310"/>
        </w:trPr>
        <w:tc>
          <w:tcPr>
            <w:tcW w:w="4206" w:type="dxa"/>
            <w:gridSpan w:val="4"/>
            <w:tcBorders>
              <w:top w:val="nil"/>
              <w:left w:val="nil"/>
              <w:bottom w:val="nil"/>
              <w:right w:val="nil"/>
            </w:tcBorders>
            <w:shd w:val="clear" w:color="auto" w:fill="auto"/>
            <w:noWrap/>
            <w:vAlign w:val="bottom"/>
            <w:hideMark/>
          </w:tcPr>
          <w:p w:rsidR="00C72D57" w:rsidRPr="00C72D57" w:rsidRDefault="00C72D57" w:rsidP="00C72D57">
            <w:pPr>
              <w:jc w:val="center"/>
              <w:rPr>
                <w:rFonts w:ascii="Arial" w:hAnsi="Arial" w:cs="Arial"/>
                <w:b/>
                <w:bCs/>
                <w:color w:val="000000"/>
              </w:rPr>
            </w:pPr>
            <w:r w:rsidRPr="00C72D57">
              <w:rPr>
                <w:rFonts w:ascii="Arial" w:hAnsi="Arial" w:cs="Arial"/>
                <w:b/>
                <w:bCs/>
                <w:color w:val="000000"/>
              </w:rPr>
              <w:t>Business transacted during the month of:</w:t>
            </w:r>
          </w:p>
        </w:tc>
        <w:tc>
          <w:tcPr>
            <w:tcW w:w="2808" w:type="dxa"/>
            <w:gridSpan w:val="2"/>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b/>
                <w:bCs/>
                <w:color w:val="000000"/>
              </w:rPr>
            </w:pPr>
            <w:r w:rsidRPr="00C72D57">
              <w:rPr>
                <w:rFonts w:ascii="Arial" w:hAnsi="Arial" w:cs="Arial"/>
                <w:b/>
                <w:bCs/>
                <w:color w:val="000000"/>
              </w:rPr>
              <w:t>is due on or before:</w:t>
            </w: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January</w:t>
            </w:r>
          </w:p>
        </w:tc>
        <w:tc>
          <w:tcPr>
            <w:tcW w:w="736" w:type="dxa"/>
            <w:tcBorders>
              <w:top w:val="nil"/>
              <w:left w:val="nil"/>
              <w:bottom w:val="nil"/>
              <w:right w:val="nil"/>
            </w:tcBorders>
            <w:shd w:val="clear" w:color="auto" w:fill="auto"/>
            <w:noWrap/>
            <w:vAlign w:val="bottom"/>
            <w:hideMark/>
          </w:tcPr>
          <w:p w:rsidR="00C72D57" w:rsidRPr="00C72D57" w:rsidRDefault="00C72D57" w:rsidP="0001099F">
            <w:pPr>
              <w:jc w:val="right"/>
              <w:rPr>
                <w:rFonts w:ascii="Arial" w:hAnsi="Arial" w:cs="Arial"/>
                <w:color w:val="000000"/>
              </w:rPr>
            </w:pPr>
            <w:r w:rsidRPr="00C72D57">
              <w:rPr>
                <w:rFonts w:ascii="Arial" w:hAnsi="Arial" w:cs="Arial"/>
                <w:color w:val="000000"/>
              </w:rPr>
              <w:t>201</w:t>
            </w:r>
            <w:r w:rsidR="0001099F">
              <w:rPr>
                <w:rFonts w:ascii="Arial" w:hAnsi="Arial" w:cs="Arial"/>
                <w:color w:val="000000"/>
              </w:rPr>
              <w:t>5</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April 1, 201</w:t>
            </w:r>
            <w:r w:rsidR="0001099F">
              <w:rPr>
                <w:rFonts w:ascii="Arial" w:hAnsi="Arial" w:cs="Arial"/>
                <w:color w:val="000000"/>
              </w:rPr>
              <w:t>5</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February</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w:t>
            </w:r>
            <w:r w:rsidR="0001099F">
              <w:rPr>
                <w:rFonts w:ascii="Arial" w:hAnsi="Arial" w:cs="Arial"/>
                <w:color w:val="000000"/>
              </w:rPr>
              <w:t>5</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May 1, 201</w:t>
            </w:r>
            <w:r w:rsidR="0001099F">
              <w:rPr>
                <w:rFonts w:ascii="Arial" w:hAnsi="Arial" w:cs="Arial"/>
                <w:color w:val="000000"/>
              </w:rPr>
              <w:t>5</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March</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w:t>
            </w:r>
            <w:r w:rsidR="0001099F">
              <w:rPr>
                <w:rFonts w:ascii="Arial" w:hAnsi="Arial" w:cs="Arial"/>
                <w:color w:val="000000"/>
              </w:rPr>
              <w:t>5</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June 1, 201</w:t>
            </w:r>
            <w:r w:rsidR="0001099F">
              <w:rPr>
                <w:rFonts w:ascii="Arial" w:hAnsi="Arial" w:cs="Arial"/>
                <w:color w:val="000000"/>
              </w:rPr>
              <w:t>5</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April</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w:t>
            </w:r>
            <w:r w:rsidR="0001099F">
              <w:rPr>
                <w:rFonts w:ascii="Arial" w:hAnsi="Arial" w:cs="Arial"/>
                <w:color w:val="000000"/>
              </w:rPr>
              <w:t>5</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July 1, 201</w:t>
            </w:r>
            <w:r w:rsidR="0001099F">
              <w:rPr>
                <w:rFonts w:ascii="Arial" w:hAnsi="Arial" w:cs="Arial"/>
                <w:color w:val="000000"/>
              </w:rPr>
              <w:t>5</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May</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w:t>
            </w:r>
            <w:r w:rsidR="0001099F">
              <w:rPr>
                <w:rFonts w:ascii="Arial" w:hAnsi="Arial" w:cs="Arial"/>
                <w:color w:val="000000"/>
              </w:rPr>
              <w:t>5</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August 1, 201</w:t>
            </w:r>
            <w:r w:rsidR="0001099F">
              <w:rPr>
                <w:rFonts w:ascii="Arial" w:hAnsi="Arial" w:cs="Arial"/>
                <w:color w:val="000000"/>
              </w:rPr>
              <w:t>5</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June</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w:t>
            </w:r>
            <w:r w:rsidR="0001099F">
              <w:rPr>
                <w:rFonts w:ascii="Arial" w:hAnsi="Arial" w:cs="Arial"/>
                <w:color w:val="000000"/>
              </w:rPr>
              <w:t>5</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September 1, 201</w:t>
            </w:r>
            <w:r w:rsidR="0001099F">
              <w:rPr>
                <w:rFonts w:ascii="Arial" w:hAnsi="Arial" w:cs="Arial"/>
                <w:color w:val="000000"/>
              </w:rPr>
              <w:t>5</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July</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w:t>
            </w:r>
            <w:r w:rsidR="0001099F">
              <w:rPr>
                <w:rFonts w:ascii="Arial" w:hAnsi="Arial" w:cs="Arial"/>
                <w:color w:val="000000"/>
              </w:rPr>
              <w:t>5</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October 1, 201</w:t>
            </w:r>
            <w:r w:rsidR="0001099F">
              <w:rPr>
                <w:rFonts w:ascii="Arial" w:hAnsi="Arial" w:cs="Arial"/>
                <w:color w:val="000000"/>
              </w:rPr>
              <w:t>5</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August</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w:t>
            </w:r>
            <w:r w:rsidR="0001099F">
              <w:rPr>
                <w:rFonts w:ascii="Arial" w:hAnsi="Arial" w:cs="Arial"/>
                <w:color w:val="000000"/>
              </w:rPr>
              <w:t>5</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November 1, 201</w:t>
            </w:r>
            <w:r w:rsidR="0001099F">
              <w:rPr>
                <w:rFonts w:ascii="Arial" w:hAnsi="Arial" w:cs="Arial"/>
                <w:color w:val="000000"/>
              </w:rPr>
              <w:t>5</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September</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w:t>
            </w:r>
            <w:r w:rsidR="0001099F">
              <w:rPr>
                <w:rFonts w:ascii="Arial" w:hAnsi="Arial" w:cs="Arial"/>
                <w:color w:val="000000"/>
              </w:rPr>
              <w:t>5</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December 1, 201</w:t>
            </w:r>
            <w:r w:rsidR="0001099F">
              <w:rPr>
                <w:rFonts w:ascii="Arial" w:hAnsi="Arial" w:cs="Arial"/>
                <w:color w:val="000000"/>
              </w:rPr>
              <w:t>5</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October</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w:t>
            </w:r>
            <w:r w:rsidR="0001099F">
              <w:rPr>
                <w:rFonts w:ascii="Arial" w:hAnsi="Arial" w:cs="Arial"/>
                <w:color w:val="000000"/>
              </w:rPr>
              <w:t>5</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January 1, 201</w:t>
            </w:r>
            <w:r w:rsidR="0001099F">
              <w:rPr>
                <w:rFonts w:ascii="Arial" w:hAnsi="Arial" w:cs="Arial"/>
                <w:color w:val="000000"/>
              </w:rPr>
              <w:t>6</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November</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w:t>
            </w:r>
            <w:r w:rsidR="0001099F">
              <w:rPr>
                <w:rFonts w:ascii="Arial" w:hAnsi="Arial" w:cs="Arial"/>
                <w:color w:val="000000"/>
              </w:rPr>
              <w:t>5</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February 1, 201</w:t>
            </w:r>
            <w:r w:rsidR="0001099F">
              <w:rPr>
                <w:rFonts w:ascii="Arial" w:hAnsi="Arial" w:cs="Arial"/>
                <w:color w:val="000000"/>
              </w:rPr>
              <w:t>6</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December</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w:t>
            </w:r>
            <w:r w:rsidR="0001099F">
              <w:rPr>
                <w:rFonts w:ascii="Arial" w:hAnsi="Arial" w:cs="Arial"/>
                <w:color w:val="000000"/>
              </w:rPr>
              <w:t>5</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March 1, 201</w:t>
            </w:r>
            <w:r w:rsidR="0001099F">
              <w:rPr>
                <w:rFonts w:ascii="Arial" w:hAnsi="Arial" w:cs="Arial"/>
                <w:color w:val="000000"/>
              </w:rPr>
              <w:t>6</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bl>
    <w:p w:rsidR="00C72D57" w:rsidRDefault="00C72D57">
      <w:pPr>
        <w:rPr>
          <w:rFonts w:ascii="Arial" w:hAnsi="Arial"/>
        </w:rPr>
      </w:pPr>
    </w:p>
    <w:p w:rsidR="001F2A21" w:rsidRDefault="001F2A21">
      <w:pPr>
        <w:rPr>
          <w:rFonts w:ascii="Arial" w:hAnsi="Arial"/>
        </w:rPr>
      </w:pPr>
      <w:r>
        <w:rPr>
          <w:rFonts w:ascii="Arial" w:hAnsi="Arial"/>
        </w:rPr>
        <w:t xml:space="preserve">The Surplus Line Broker’s Monthly Tax Payment Vouchers </w:t>
      </w:r>
      <w:r>
        <w:rPr>
          <w:rFonts w:ascii="Arial" w:hAnsi="Arial"/>
          <w:b/>
          <w:u w:val="single"/>
        </w:rPr>
        <w:t>must</w:t>
      </w:r>
      <w:r>
        <w:rPr>
          <w:rFonts w:ascii="Arial" w:hAnsi="Arial"/>
        </w:rPr>
        <w:t xml:space="preserve"> be returned to one of the following addresses:</w:t>
      </w:r>
    </w:p>
    <w:p w:rsidR="001F2A21" w:rsidRDefault="001F2A21">
      <w:pPr>
        <w:rPr>
          <w:rFonts w:ascii="Arial" w:hAnsi="Arial"/>
        </w:rPr>
      </w:pPr>
    </w:p>
    <w:tbl>
      <w:tblPr>
        <w:tblW w:w="0" w:type="auto"/>
        <w:tblInd w:w="720" w:type="dxa"/>
        <w:tblLook w:val="0000" w:firstRow="0" w:lastRow="0" w:firstColumn="0" w:lastColumn="0" w:noHBand="0" w:noVBand="0"/>
      </w:tblPr>
      <w:tblGrid>
        <w:gridCol w:w="4406"/>
        <w:gridCol w:w="900"/>
        <w:gridCol w:w="4410"/>
      </w:tblGrid>
      <w:tr w:rsidR="001F2A21">
        <w:trPr>
          <w:trHeight w:val="801"/>
        </w:trPr>
        <w:tc>
          <w:tcPr>
            <w:tcW w:w="4406" w:type="dxa"/>
          </w:tcPr>
          <w:p w:rsidR="001F2A21" w:rsidRDefault="001F2A21">
            <w:pPr>
              <w:jc w:val="both"/>
              <w:rPr>
                <w:rFonts w:ascii="Arial" w:hAnsi="Arial"/>
              </w:rPr>
            </w:pPr>
            <w:r>
              <w:rPr>
                <w:rFonts w:ascii="Arial" w:hAnsi="Arial"/>
                <w:b/>
              </w:rPr>
              <w:t>Monthly Tax Payments paid by CHECK should mail the CHECK and the monthly tax payment voucher to:</w:t>
            </w:r>
          </w:p>
        </w:tc>
        <w:tc>
          <w:tcPr>
            <w:tcW w:w="900" w:type="dxa"/>
            <w:vAlign w:val="center"/>
          </w:tcPr>
          <w:p w:rsidR="001F2A21" w:rsidRDefault="001F2A21">
            <w:pPr>
              <w:pStyle w:val="Heading3"/>
            </w:pPr>
            <w:r>
              <w:t>OR</w:t>
            </w:r>
          </w:p>
        </w:tc>
        <w:tc>
          <w:tcPr>
            <w:tcW w:w="4410" w:type="dxa"/>
          </w:tcPr>
          <w:p w:rsidR="001F2A21" w:rsidRDefault="001F2A21">
            <w:pPr>
              <w:jc w:val="both"/>
              <w:rPr>
                <w:rFonts w:ascii="Arial" w:hAnsi="Arial"/>
              </w:rPr>
            </w:pPr>
            <w:r>
              <w:rPr>
                <w:rFonts w:ascii="Arial" w:hAnsi="Arial"/>
                <w:b/>
              </w:rPr>
              <w:t>Monthly Tax Payments paid by EFT or have a NET amount due of “0” should mail the monthly tax payment voucher to:</w:t>
            </w:r>
          </w:p>
        </w:tc>
      </w:tr>
      <w:tr w:rsidR="001F2A21">
        <w:trPr>
          <w:trHeight w:val="1485"/>
        </w:trPr>
        <w:tc>
          <w:tcPr>
            <w:tcW w:w="4406" w:type="dxa"/>
          </w:tcPr>
          <w:p w:rsidR="001F2A21" w:rsidRDefault="001F2A21">
            <w:pPr>
              <w:ind w:left="720"/>
              <w:rPr>
                <w:rFonts w:ascii="Arial" w:hAnsi="Arial"/>
              </w:rPr>
            </w:pPr>
            <w:r>
              <w:rPr>
                <w:rFonts w:ascii="Arial" w:hAnsi="Arial"/>
                <w:snapToGrid w:val="0"/>
              </w:rPr>
              <w:t xml:space="preserve">State of </w:t>
            </w:r>
            <w:smartTag w:uri="urn:schemas-microsoft-com:office:smarttags" w:element="place">
              <w:smartTag w:uri="urn:schemas-microsoft-com:office:smarttags" w:element="State">
                <w:r>
                  <w:rPr>
                    <w:rFonts w:ascii="Arial" w:hAnsi="Arial"/>
                    <w:snapToGrid w:val="0"/>
                  </w:rPr>
                  <w:t>California</w:t>
                </w:r>
              </w:smartTag>
            </w:smartTag>
          </w:p>
          <w:p w:rsidR="001F2A21" w:rsidRDefault="001F2A21">
            <w:pPr>
              <w:ind w:left="720"/>
              <w:rPr>
                <w:rFonts w:ascii="Arial" w:hAnsi="Arial"/>
              </w:rPr>
            </w:pPr>
            <w:r>
              <w:rPr>
                <w:rFonts w:ascii="Arial" w:hAnsi="Arial"/>
                <w:snapToGrid w:val="0"/>
              </w:rPr>
              <w:t>Department of Insurance</w:t>
            </w:r>
            <w:r>
              <w:rPr>
                <w:rFonts w:ascii="Arial" w:hAnsi="Arial"/>
              </w:rPr>
              <w:t xml:space="preserve"> </w:t>
            </w:r>
          </w:p>
          <w:p w:rsidR="001F2A21" w:rsidRDefault="001F2A21">
            <w:pPr>
              <w:ind w:left="720"/>
              <w:rPr>
                <w:rFonts w:ascii="Arial" w:hAnsi="Arial"/>
              </w:rPr>
            </w:pPr>
            <w:r>
              <w:rPr>
                <w:rFonts w:ascii="Arial" w:hAnsi="Arial"/>
              </w:rPr>
              <w:t xml:space="preserve">Tax Accounting Unit </w:t>
            </w:r>
          </w:p>
          <w:p w:rsidR="001F2A21" w:rsidRDefault="001F2A21">
            <w:pPr>
              <w:ind w:left="720"/>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1F2A21" w:rsidRDefault="001F2A21">
            <w:pPr>
              <w:ind w:left="720"/>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1F2A21" w:rsidRDefault="001F2A21">
            <w:pPr>
              <w:ind w:left="720"/>
              <w:rPr>
                <w:rFonts w:ascii="Arial" w:hAnsi="Arial"/>
                <w:b/>
              </w:rPr>
            </w:pPr>
          </w:p>
        </w:tc>
        <w:tc>
          <w:tcPr>
            <w:tcW w:w="900" w:type="dxa"/>
          </w:tcPr>
          <w:p w:rsidR="001F2A21" w:rsidRDefault="001F2A21">
            <w:pPr>
              <w:rPr>
                <w:rFonts w:ascii="Arial" w:hAnsi="Arial"/>
              </w:rPr>
            </w:pPr>
          </w:p>
        </w:tc>
        <w:tc>
          <w:tcPr>
            <w:tcW w:w="4410" w:type="dxa"/>
          </w:tcPr>
          <w:p w:rsidR="001F2A21" w:rsidRDefault="001F2A21">
            <w:pPr>
              <w:ind w:left="720"/>
              <w:rPr>
                <w:rFonts w:ascii="Arial" w:hAnsi="Arial"/>
                <w:snapToGrid w:val="0"/>
                <w:u w:val="single"/>
              </w:rPr>
            </w:pPr>
            <w:r>
              <w:rPr>
                <w:rFonts w:ascii="Arial" w:hAnsi="Arial"/>
                <w:snapToGrid w:val="0"/>
                <w:u w:val="single"/>
              </w:rPr>
              <w:t>First Class or Express Delivery</w:t>
            </w:r>
          </w:p>
          <w:p w:rsidR="001F2A21" w:rsidRDefault="001F2A21">
            <w:pPr>
              <w:ind w:left="720"/>
              <w:rPr>
                <w:rFonts w:ascii="Arial" w:hAnsi="Arial"/>
              </w:rPr>
            </w:pPr>
            <w:r>
              <w:rPr>
                <w:rFonts w:ascii="Arial" w:hAnsi="Arial"/>
                <w:snapToGrid w:val="0"/>
              </w:rPr>
              <w:t xml:space="preserve">State of </w:t>
            </w:r>
            <w:smartTag w:uri="urn:schemas-microsoft-com:office:smarttags" w:element="place">
              <w:smartTag w:uri="urn:schemas-microsoft-com:office:smarttags" w:element="State">
                <w:r>
                  <w:rPr>
                    <w:rFonts w:ascii="Arial" w:hAnsi="Arial"/>
                    <w:snapToGrid w:val="0"/>
                  </w:rPr>
                  <w:t>California</w:t>
                </w:r>
              </w:smartTag>
            </w:smartTag>
          </w:p>
          <w:p w:rsidR="001F2A21" w:rsidRDefault="001F2A21">
            <w:pPr>
              <w:ind w:left="720"/>
              <w:rPr>
                <w:rFonts w:ascii="Arial" w:hAnsi="Arial"/>
              </w:rPr>
            </w:pPr>
            <w:r>
              <w:rPr>
                <w:rFonts w:ascii="Arial" w:hAnsi="Arial"/>
                <w:snapToGrid w:val="0"/>
              </w:rPr>
              <w:t>Department of Insurance</w:t>
            </w:r>
            <w:r>
              <w:rPr>
                <w:rFonts w:ascii="Arial" w:hAnsi="Arial"/>
              </w:rPr>
              <w:t xml:space="preserve"> </w:t>
            </w:r>
          </w:p>
          <w:p w:rsidR="001F2A21" w:rsidRDefault="001F2A21">
            <w:pPr>
              <w:ind w:left="720"/>
              <w:rPr>
                <w:rFonts w:ascii="Arial" w:hAnsi="Arial"/>
              </w:rPr>
            </w:pPr>
            <w:r>
              <w:rPr>
                <w:rFonts w:ascii="Arial" w:hAnsi="Arial"/>
              </w:rPr>
              <w:t>Tax Accounting/EFT Unit</w:t>
            </w:r>
          </w:p>
          <w:p w:rsidR="001F2A21" w:rsidRDefault="001F2A21">
            <w:pPr>
              <w:ind w:left="720"/>
              <w:rPr>
                <w:rFonts w:ascii="Arial" w:hAnsi="Arial"/>
              </w:rPr>
            </w:pPr>
            <w:r>
              <w:rPr>
                <w:rFonts w:ascii="Arial" w:hAnsi="Arial"/>
              </w:rPr>
              <w:t>300 Capitol Mall Suite 1400</w:t>
            </w:r>
            <w:r w:rsidR="00287F59">
              <w:rPr>
                <w:rFonts w:ascii="Arial" w:hAnsi="Arial"/>
              </w:rPr>
              <w:t>0</w:t>
            </w:r>
          </w:p>
          <w:p w:rsidR="001F2A21" w:rsidRDefault="001F2A21">
            <w:pPr>
              <w:ind w:left="720"/>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1F2A21" w:rsidRDefault="001F2A21">
            <w:pPr>
              <w:ind w:left="720"/>
            </w:pPr>
          </w:p>
        </w:tc>
      </w:tr>
    </w:tbl>
    <w:p w:rsidR="001F2A21" w:rsidRDefault="001F2A21">
      <w:pPr>
        <w:jc w:val="both"/>
        <w:rPr>
          <w:rFonts w:ascii="Arial" w:hAnsi="Arial"/>
        </w:rPr>
      </w:pPr>
      <w:r>
        <w:rPr>
          <w:rFonts w:ascii="Arial" w:hAnsi="Arial"/>
        </w:rPr>
        <w:t xml:space="preserve">The tax payment vouchers are available on the California Department of Insurance web-site </w:t>
      </w:r>
      <w:hyperlink r:id="rId6" w:history="1">
        <w:r w:rsidRPr="0001099F">
          <w:rPr>
            <w:rStyle w:val="Hyperlink"/>
            <w:rFonts w:ascii="Arial" w:hAnsi="Arial" w:cs="Arial"/>
          </w:rPr>
          <w:t>http://www.insurance.ca.gov</w:t>
        </w:r>
      </w:hyperlink>
      <w:r>
        <w:rPr>
          <w:rFonts w:ascii="Arial" w:hAnsi="Arial"/>
        </w:rPr>
        <w:t xml:space="preserve"> under the “Insurers” section.  </w:t>
      </w:r>
      <w:proofErr w:type="gramStart"/>
      <w:r>
        <w:rPr>
          <w:rFonts w:ascii="Arial" w:hAnsi="Arial"/>
        </w:rPr>
        <w:t>Click on the link “Tax Forms, Instructions and Information” for 20</w:t>
      </w:r>
      <w:r w:rsidR="00DF3E02">
        <w:rPr>
          <w:rFonts w:ascii="Arial" w:hAnsi="Arial"/>
        </w:rPr>
        <w:t>1</w:t>
      </w:r>
      <w:r w:rsidR="0001099F">
        <w:rPr>
          <w:rFonts w:ascii="Arial" w:hAnsi="Arial"/>
        </w:rPr>
        <w:t>4</w:t>
      </w:r>
      <w:r>
        <w:rPr>
          <w:rFonts w:ascii="Arial" w:hAnsi="Arial"/>
        </w:rPr>
        <w:t xml:space="preserve"> to access the tax forms and vouchers.</w:t>
      </w:r>
      <w:proofErr w:type="gramEnd"/>
    </w:p>
    <w:p w:rsidR="001F2A21" w:rsidRDefault="001F2A21">
      <w:pPr>
        <w:ind w:left="1260"/>
        <w:jc w:val="both"/>
        <w:rPr>
          <w:rFonts w:ascii="Arial" w:hAnsi="Arial"/>
        </w:rPr>
      </w:pPr>
    </w:p>
    <w:p w:rsidR="001F2A21" w:rsidRDefault="001F2A21">
      <w:pPr>
        <w:pStyle w:val="Heading5"/>
        <w:ind w:left="0" w:right="0"/>
      </w:pPr>
      <w:r>
        <w:t>IMPORTANT INFORMATION</w:t>
      </w:r>
    </w:p>
    <w:p w:rsidR="001F2A21" w:rsidRDefault="001F2A21"/>
    <w:p w:rsidR="001F2A21" w:rsidRDefault="001F2A21">
      <w:pPr>
        <w:numPr>
          <w:ilvl w:val="0"/>
          <w:numId w:val="2"/>
        </w:numPr>
        <w:jc w:val="both"/>
        <w:rPr>
          <w:rFonts w:ascii="Arial" w:hAnsi="Arial"/>
        </w:rPr>
      </w:pPr>
      <w:r>
        <w:rPr>
          <w:rFonts w:ascii="Arial" w:hAnsi="Arial"/>
          <w:b/>
        </w:rPr>
        <w:t xml:space="preserve">MANDATORY PARTICIPATION: </w:t>
      </w:r>
      <w:r>
        <w:rPr>
          <w:rFonts w:ascii="Arial" w:hAnsi="Arial"/>
        </w:rPr>
        <w:t xml:space="preserve">Commencing January 1, 1995, entities subject to insurance tax, whose annual tax payment is </w:t>
      </w:r>
      <w:r w:rsidR="00324AFA">
        <w:rPr>
          <w:rFonts w:ascii="Arial" w:hAnsi="Arial"/>
        </w:rPr>
        <w:t xml:space="preserve">more than </w:t>
      </w:r>
      <w:r>
        <w:rPr>
          <w:rFonts w:ascii="Arial" w:hAnsi="Arial"/>
        </w:rPr>
        <w:t>$20,000</w:t>
      </w:r>
      <w:r w:rsidR="00324AFA">
        <w:rPr>
          <w:rFonts w:ascii="Arial" w:hAnsi="Arial"/>
        </w:rPr>
        <w:t>,</w:t>
      </w:r>
      <w:r>
        <w:rPr>
          <w:rFonts w:ascii="Arial" w:hAnsi="Arial"/>
        </w:rPr>
        <w:t xml:space="preserve"> are required to participate in the Electronic Funds Transfer (EFT) program pursuant to the California Insurance Code Section 1775.8.</w:t>
      </w:r>
    </w:p>
    <w:p w:rsidR="001F2A21" w:rsidRDefault="001F2A21">
      <w:pPr>
        <w:jc w:val="both"/>
        <w:rPr>
          <w:rFonts w:ascii="Arial" w:hAnsi="Arial"/>
        </w:rPr>
      </w:pPr>
    </w:p>
    <w:p w:rsidR="001F2A21" w:rsidRDefault="001F2A21">
      <w:pPr>
        <w:numPr>
          <w:ilvl w:val="0"/>
          <w:numId w:val="4"/>
        </w:numPr>
        <w:jc w:val="both"/>
        <w:rPr>
          <w:rFonts w:ascii="Arial" w:hAnsi="Arial"/>
        </w:rPr>
      </w:pPr>
      <w:r>
        <w:rPr>
          <w:rFonts w:ascii="Arial" w:hAnsi="Arial"/>
        </w:rPr>
        <w:t>Those required to pay or have voluntarily elected to pay by Electronic Funds Transfer (EFT) must use the EFT method of payment and are still required to submit a monthly payment voucher.</w:t>
      </w:r>
    </w:p>
    <w:p w:rsidR="001F2A21" w:rsidRDefault="001F2A21">
      <w:pPr>
        <w:tabs>
          <w:tab w:val="left" w:pos="1083"/>
        </w:tabs>
        <w:ind w:left="720"/>
        <w:jc w:val="both"/>
        <w:rPr>
          <w:rFonts w:ascii="Arial" w:hAnsi="Arial"/>
        </w:rPr>
      </w:pPr>
    </w:p>
    <w:p w:rsidR="001F2A21" w:rsidRDefault="001F2A21">
      <w:pPr>
        <w:numPr>
          <w:ilvl w:val="0"/>
          <w:numId w:val="4"/>
        </w:numPr>
        <w:rPr>
          <w:rFonts w:ascii="Arial" w:hAnsi="Arial"/>
        </w:rPr>
      </w:pPr>
      <w:r>
        <w:rPr>
          <w:rFonts w:ascii="Arial" w:hAnsi="Arial"/>
        </w:rPr>
        <w:t>If paying by check, please include the Surplus Line License Number on the check.</w:t>
      </w:r>
    </w:p>
    <w:p w:rsidR="001F2A21" w:rsidRDefault="001F2A21">
      <w:pPr>
        <w:rPr>
          <w:rFonts w:ascii="Arial" w:hAnsi="Arial"/>
          <w:b/>
        </w:rPr>
      </w:pPr>
    </w:p>
    <w:p w:rsidR="001F2A21" w:rsidRDefault="001F2A21">
      <w:pPr>
        <w:pStyle w:val="BodyText"/>
        <w:ind w:right="0"/>
      </w:pPr>
      <w:r>
        <w:t xml:space="preserve">For questions regarding the Electronic Funds Transfer (EFT) Program, contact the California Department of Insurance Tax Accounting/EFT Unit at (916) 492-3288, e-mail: </w:t>
      </w:r>
      <w:hyperlink r:id="rId7" w:history="1">
        <w:r w:rsidR="0001099F" w:rsidRPr="00866B82">
          <w:rPr>
            <w:rStyle w:val="Hyperlink"/>
          </w:rPr>
          <w:t>EFT@insurance.ca.gov</w:t>
        </w:r>
      </w:hyperlink>
      <w:r w:rsidR="0001099F">
        <w:t xml:space="preserve"> </w:t>
      </w:r>
      <w:r>
        <w:t>or write to:</w:t>
      </w:r>
    </w:p>
    <w:p w:rsidR="001F2A21" w:rsidRDefault="001F2A21">
      <w:pPr>
        <w:pStyle w:val="BodyText"/>
        <w:ind w:left="720" w:right="0"/>
        <w:rPr>
          <w:sz w:val="10"/>
        </w:rPr>
      </w:pPr>
    </w:p>
    <w:p w:rsidR="001F2A21" w:rsidRDefault="001F2A21">
      <w:pPr>
        <w:pStyle w:val="BodyText"/>
        <w:ind w:left="360" w:right="0"/>
      </w:pPr>
      <w:r>
        <w:t xml:space="preserve">State of </w:t>
      </w:r>
      <w:smartTag w:uri="urn:schemas-microsoft-com:office:smarttags" w:element="place">
        <w:smartTag w:uri="urn:schemas-microsoft-com:office:smarttags" w:element="State">
          <w:r>
            <w:t>California</w:t>
          </w:r>
        </w:smartTag>
      </w:smartTag>
      <w:r>
        <w:t xml:space="preserve"> </w:t>
      </w:r>
    </w:p>
    <w:p w:rsidR="001F2A21" w:rsidRDefault="001F2A21">
      <w:pPr>
        <w:pStyle w:val="BodyText"/>
        <w:ind w:left="360" w:right="0"/>
      </w:pPr>
      <w:r>
        <w:t>Department of Insurance</w:t>
      </w:r>
    </w:p>
    <w:p w:rsidR="001F2A21" w:rsidRDefault="001F2A21">
      <w:pPr>
        <w:ind w:left="360"/>
        <w:rPr>
          <w:rFonts w:ascii="Arial" w:hAnsi="Arial"/>
        </w:rPr>
      </w:pPr>
      <w:r>
        <w:rPr>
          <w:rFonts w:ascii="Arial" w:hAnsi="Arial"/>
        </w:rPr>
        <w:t>Tax Accounting /EFT Unit</w:t>
      </w:r>
    </w:p>
    <w:p w:rsidR="001F2A21" w:rsidRDefault="001F2A21">
      <w:pPr>
        <w:ind w:left="360"/>
        <w:rPr>
          <w:rFonts w:ascii="Arial" w:hAnsi="Arial"/>
        </w:rPr>
      </w:pPr>
      <w:r>
        <w:rPr>
          <w:rFonts w:ascii="Arial" w:hAnsi="Arial"/>
        </w:rPr>
        <w:t>300 Capitol Mall, Suite 1400</w:t>
      </w:r>
      <w:r w:rsidR="00CA0ECA">
        <w:rPr>
          <w:rFonts w:ascii="Arial" w:hAnsi="Arial"/>
        </w:rPr>
        <w:t>0</w:t>
      </w:r>
      <w:bookmarkStart w:id="0" w:name="_GoBack"/>
      <w:bookmarkEnd w:id="0"/>
    </w:p>
    <w:p w:rsidR="001F2A21" w:rsidRDefault="001F2A21">
      <w:pPr>
        <w:ind w:left="360"/>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sectPr w:rsidR="001F2A21" w:rsidSect="001677F6">
      <w:pgSz w:w="12240" w:h="15840" w:code="1"/>
      <w:pgMar w:top="720" w:right="1008" w:bottom="432" w:left="1008" w:header="432"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2FE59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21"/>
    <w:rsid w:val="0001099F"/>
    <w:rsid w:val="0005607F"/>
    <w:rsid w:val="00152D5E"/>
    <w:rsid w:val="001677F6"/>
    <w:rsid w:val="001D1452"/>
    <w:rsid w:val="001D3DA3"/>
    <w:rsid w:val="001F2A21"/>
    <w:rsid w:val="00255937"/>
    <w:rsid w:val="00287F59"/>
    <w:rsid w:val="002E6A5F"/>
    <w:rsid w:val="00305E7B"/>
    <w:rsid w:val="00324AFA"/>
    <w:rsid w:val="00396C41"/>
    <w:rsid w:val="005C013B"/>
    <w:rsid w:val="0063397F"/>
    <w:rsid w:val="00686E3D"/>
    <w:rsid w:val="00A852ED"/>
    <w:rsid w:val="00AC1ECE"/>
    <w:rsid w:val="00B636C9"/>
    <w:rsid w:val="00C72D57"/>
    <w:rsid w:val="00CA0ECA"/>
    <w:rsid w:val="00CB6E25"/>
    <w:rsid w:val="00DF3E02"/>
    <w:rsid w:val="00E1032E"/>
    <w:rsid w:val="00E8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right="783"/>
      <w:outlineLvl w:val="0"/>
    </w:pPr>
    <w:rPr>
      <w:rFonts w:ascii="Arial" w:hAnsi="Arial"/>
      <w:b/>
    </w:rPr>
  </w:style>
  <w:style w:type="paragraph" w:styleId="Heading2">
    <w:name w:val="heading 2"/>
    <w:basedOn w:val="Normal"/>
    <w:next w:val="Normal"/>
    <w:qFormat/>
    <w:pPr>
      <w:keepNext/>
      <w:ind w:right="783"/>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w:hAnsi="Arial"/>
      <w:sz w:val="32"/>
    </w:rPr>
  </w:style>
  <w:style w:type="paragraph" w:styleId="BodyText">
    <w:name w:val="Body Text"/>
    <w:basedOn w:val="Normal"/>
    <w:pPr>
      <w:ind w:right="90"/>
      <w:jc w:val="both"/>
    </w:pPr>
    <w:rPr>
      <w:rFonts w:ascii="Arial" w:hAnsi="Arial"/>
    </w:rPr>
  </w:style>
  <w:style w:type="paragraph" w:styleId="BodyTextIndent">
    <w:name w:val="Body Text Indent"/>
    <w:basedOn w:val="Normal"/>
    <w:pPr>
      <w:ind w:left="-51"/>
      <w:jc w:val="both"/>
    </w:pPr>
    <w:rPr>
      <w:rFonts w:ascii="Arial" w:hAnsi="Arial"/>
      <w:b/>
    </w:rPr>
  </w:style>
  <w:style w:type="paragraph" w:styleId="BodyText2">
    <w:name w:val="Body Text 2"/>
    <w:basedOn w:val="Normal"/>
    <w:pPr>
      <w:ind w:right="855"/>
    </w:pPr>
    <w:rPr>
      <w:rFonts w:ascii="Arial" w:hAnsi="Arial"/>
    </w:rPr>
  </w:style>
  <w:style w:type="paragraph" w:styleId="BodyText3">
    <w:name w:val="Body Text 3"/>
    <w:basedOn w:val="Normal"/>
    <w:pPr>
      <w:ind w:right="177"/>
      <w:jc w:val="both"/>
    </w:pPr>
    <w:rPr>
      <w:rFonts w:ascii="Arial" w:hAnsi="Arial"/>
      <w:b/>
    </w:rPr>
  </w:style>
  <w:style w:type="paragraph" w:styleId="BalloonText">
    <w:name w:val="Balloon Text"/>
    <w:basedOn w:val="Normal"/>
    <w:link w:val="BalloonTextChar"/>
    <w:rsid w:val="00CB6E25"/>
    <w:rPr>
      <w:rFonts w:ascii="Tahoma" w:hAnsi="Tahoma" w:cs="Tahoma"/>
      <w:sz w:val="16"/>
      <w:szCs w:val="16"/>
    </w:rPr>
  </w:style>
  <w:style w:type="character" w:customStyle="1" w:styleId="BalloonTextChar">
    <w:name w:val="Balloon Text Char"/>
    <w:link w:val="BalloonText"/>
    <w:rsid w:val="00CB6E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right="783"/>
      <w:outlineLvl w:val="0"/>
    </w:pPr>
    <w:rPr>
      <w:rFonts w:ascii="Arial" w:hAnsi="Arial"/>
      <w:b/>
    </w:rPr>
  </w:style>
  <w:style w:type="paragraph" w:styleId="Heading2">
    <w:name w:val="heading 2"/>
    <w:basedOn w:val="Normal"/>
    <w:next w:val="Normal"/>
    <w:qFormat/>
    <w:pPr>
      <w:keepNext/>
      <w:ind w:right="783"/>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w:hAnsi="Arial"/>
      <w:sz w:val="32"/>
    </w:rPr>
  </w:style>
  <w:style w:type="paragraph" w:styleId="BodyText">
    <w:name w:val="Body Text"/>
    <w:basedOn w:val="Normal"/>
    <w:pPr>
      <w:ind w:right="90"/>
      <w:jc w:val="both"/>
    </w:pPr>
    <w:rPr>
      <w:rFonts w:ascii="Arial" w:hAnsi="Arial"/>
    </w:rPr>
  </w:style>
  <w:style w:type="paragraph" w:styleId="BodyTextIndent">
    <w:name w:val="Body Text Indent"/>
    <w:basedOn w:val="Normal"/>
    <w:pPr>
      <w:ind w:left="-51"/>
      <w:jc w:val="both"/>
    </w:pPr>
    <w:rPr>
      <w:rFonts w:ascii="Arial" w:hAnsi="Arial"/>
      <w:b/>
    </w:rPr>
  </w:style>
  <w:style w:type="paragraph" w:styleId="BodyText2">
    <w:name w:val="Body Text 2"/>
    <w:basedOn w:val="Normal"/>
    <w:pPr>
      <w:ind w:right="855"/>
    </w:pPr>
    <w:rPr>
      <w:rFonts w:ascii="Arial" w:hAnsi="Arial"/>
    </w:rPr>
  </w:style>
  <w:style w:type="paragraph" w:styleId="BodyText3">
    <w:name w:val="Body Text 3"/>
    <w:basedOn w:val="Normal"/>
    <w:pPr>
      <w:ind w:right="177"/>
      <w:jc w:val="both"/>
    </w:pPr>
    <w:rPr>
      <w:rFonts w:ascii="Arial" w:hAnsi="Arial"/>
      <w:b/>
    </w:rPr>
  </w:style>
  <w:style w:type="paragraph" w:styleId="BalloonText">
    <w:name w:val="Balloon Text"/>
    <w:basedOn w:val="Normal"/>
    <w:link w:val="BalloonTextChar"/>
    <w:rsid w:val="00CB6E25"/>
    <w:rPr>
      <w:rFonts w:ascii="Tahoma" w:hAnsi="Tahoma" w:cs="Tahoma"/>
      <w:sz w:val="16"/>
      <w:szCs w:val="16"/>
    </w:rPr>
  </w:style>
  <w:style w:type="character" w:customStyle="1" w:styleId="BalloonTextChar">
    <w:name w:val="Balloon Text Char"/>
    <w:link w:val="BalloonText"/>
    <w:rsid w:val="00CB6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67978">
      <w:bodyDiv w:val="1"/>
      <w:marLeft w:val="0"/>
      <w:marRight w:val="0"/>
      <w:marTop w:val="0"/>
      <w:marBottom w:val="0"/>
      <w:divBdr>
        <w:top w:val="none" w:sz="0" w:space="0" w:color="auto"/>
        <w:left w:val="none" w:sz="0" w:space="0" w:color="auto"/>
        <w:bottom w:val="none" w:sz="0" w:space="0" w:color="auto"/>
        <w:right w:val="none" w:sz="0" w:space="0" w:color="auto"/>
      </w:divBdr>
    </w:div>
    <w:div w:id="15323784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FT@insuranc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urance.c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2001 SURPLUS LINE TAX CALENDAR</vt:lpstr>
    </vt:vector>
  </TitlesOfParts>
  <Company>State of California</Company>
  <LinksUpToDate>false</LinksUpToDate>
  <CharactersWithSpaces>2766</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SURPLUS LINE TAX CALENDAR</dc:title>
  <dc:creator>Department of Insurance</dc:creator>
  <cp:lastModifiedBy>IDS_GUEST, </cp:lastModifiedBy>
  <cp:revision>2</cp:revision>
  <cp:lastPrinted>2013-10-01T18:21:00Z</cp:lastPrinted>
  <dcterms:created xsi:type="dcterms:W3CDTF">2014-11-20T22:24:00Z</dcterms:created>
  <dcterms:modified xsi:type="dcterms:W3CDTF">2014-11-20T22:24:00Z</dcterms:modified>
</cp:coreProperties>
</file>