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DD3" w:rsidRDefault="001B4DD3" w:rsidP="002B2193">
      <w:pPr>
        <w:autoSpaceDE w:val="0"/>
        <w:autoSpaceDN w:val="0"/>
        <w:adjustRightInd w:val="0"/>
        <w:spacing w:after="0" w:line="240" w:lineRule="auto"/>
        <w:rPr>
          <w:rFonts w:ascii="Arial" w:hAnsi="Arial" w:cs="Arial"/>
          <w:sz w:val="20"/>
          <w:szCs w:val="20"/>
        </w:rPr>
      </w:pPr>
      <w:bookmarkStart w:id="0" w:name="_GoBack"/>
      <w:bookmarkEnd w:id="0"/>
    </w:p>
    <w:p w:rsidR="004F5A28" w:rsidRDefault="004F5A28" w:rsidP="002B2193">
      <w:pPr>
        <w:autoSpaceDE w:val="0"/>
        <w:autoSpaceDN w:val="0"/>
        <w:adjustRightInd w:val="0"/>
        <w:spacing w:after="0" w:line="240" w:lineRule="auto"/>
        <w:rPr>
          <w:rFonts w:ascii="Arial" w:hAnsi="Arial" w:cs="Arial"/>
          <w:sz w:val="20"/>
          <w:szCs w:val="20"/>
        </w:rPr>
      </w:pPr>
    </w:p>
    <w:p w:rsidR="00885322" w:rsidRDefault="003378FD" w:rsidP="002B2193">
      <w:pPr>
        <w:autoSpaceDE w:val="0"/>
        <w:autoSpaceDN w:val="0"/>
        <w:adjustRightInd w:val="0"/>
        <w:spacing w:after="0" w:line="240" w:lineRule="auto"/>
        <w:rPr>
          <w:rFonts w:ascii="Arial" w:hAnsi="Arial" w:cs="Arial"/>
          <w:sz w:val="20"/>
          <w:szCs w:val="20"/>
        </w:rPr>
      </w:pPr>
      <w:r w:rsidRPr="003378FD">
        <w:rPr>
          <w:rFonts w:ascii="Arial" w:hAnsi="Arial" w:cs="Arial"/>
          <w:sz w:val="20"/>
          <w:szCs w:val="20"/>
        </w:rPr>
        <w:t>June 12</w:t>
      </w:r>
      <w:r w:rsidR="00674040" w:rsidRPr="003378FD">
        <w:rPr>
          <w:rFonts w:ascii="Arial" w:hAnsi="Arial" w:cs="Arial"/>
          <w:sz w:val="20"/>
          <w:szCs w:val="20"/>
        </w:rPr>
        <w:t>, 2020</w:t>
      </w:r>
    </w:p>
    <w:p w:rsidR="00052902" w:rsidRPr="00B43129" w:rsidRDefault="00052902" w:rsidP="002B2193">
      <w:pPr>
        <w:autoSpaceDE w:val="0"/>
        <w:autoSpaceDN w:val="0"/>
        <w:adjustRightInd w:val="0"/>
        <w:spacing w:after="0" w:line="240" w:lineRule="auto"/>
        <w:rPr>
          <w:rFonts w:ascii="Arial" w:hAnsi="Arial" w:cs="Arial"/>
          <w:sz w:val="20"/>
          <w:szCs w:val="20"/>
        </w:rPr>
      </w:pPr>
    </w:p>
    <w:p w:rsidR="00885322" w:rsidRDefault="00885322" w:rsidP="002B2193">
      <w:pPr>
        <w:autoSpaceDE w:val="0"/>
        <w:autoSpaceDN w:val="0"/>
        <w:adjustRightInd w:val="0"/>
        <w:spacing w:after="0" w:line="240" w:lineRule="auto"/>
        <w:rPr>
          <w:rFonts w:ascii="Arial" w:hAnsi="Arial" w:cs="Arial"/>
          <w:sz w:val="20"/>
          <w:szCs w:val="20"/>
        </w:rPr>
      </w:pPr>
    </w:p>
    <w:p w:rsidR="00BA3B5C" w:rsidRPr="00B43129" w:rsidRDefault="00BA3B5C" w:rsidP="002B2193">
      <w:pPr>
        <w:autoSpaceDE w:val="0"/>
        <w:autoSpaceDN w:val="0"/>
        <w:adjustRightInd w:val="0"/>
        <w:spacing w:after="0" w:line="240" w:lineRule="auto"/>
        <w:rPr>
          <w:rFonts w:ascii="Arial" w:hAnsi="Arial" w:cs="Arial"/>
          <w:sz w:val="20"/>
          <w:szCs w:val="20"/>
        </w:rPr>
      </w:pPr>
    </w:p>
    <w:p w:rsidR="004F5A28" w:rsidRPr="00B43129" w:rsidRDefault="009D71FF" w:rsidP="002B2193">
      <w:pPr>
        <w:autoSpaceDE w:val="0"/>
        <w:autoSpaceDN w:val="0"/>
        <w:adjustRightInd w:val="0"/>
        <w:spacing w:after="0" w:line="240" w:lineRule="auto"/>
        <w:rPr>
          <w:rFonts w:ascii="Arial" w:hAnsi="Arial" w:cs="Arial"/>
          <w:sz w:val="20"/>
          <w:szCs w:val="20"/>
        </w:rPr>
      </w:pPr>
      <w:r>
        <w:rPr>
          <w:rFonts w:ascii="Arial" w:hAnsi="Arial" w:cs="Arial"/>
          <w:sz w:val="20"/>
          <w:szCs w:val="20"/>
        </w:rPr>
        <w:t>Commissioner Ricardo Lara</w:t>
      </w:r>
    </w:p>
    <w:p w:rsidR="004F5A28" w:rsidRDefault="009D71FF" w:rsidP="002B2193">
      <w:pPr>
        <w:autoSpaceDE w:val="0"/>
        <w:autoSpaceDN w:val="0"/>
        <w:adjustRightInd w:val="0"/>
        <w:spacing w:after="0" w:line="240" w:lineRule="auto"/>
        <w:rPr>
          <w:rFonts w:ascii="Arial" w:hAnsi="Arial" w:cs="Arial"/>
          <w:sz w:val="20"/>
          <w:szCs w:val="20"/>
        </w:rPr>
      </w:pPr>
      <w:r>
        <w:rPr>
          <w:rFonts w:ascii="Arial" w:hAnsi="Arial" w:cs="Arial"/>
          <w:sz w:val="20"/>
          <w:szCs w:val="20"/>
        </w:rPr>
        <w:t>California</w:t>
      </w:r>
      <w:r w:rsidR="00D77CAA">
        <w:rPr>
          <w:rFonts w:ascii="Arial" w:hAnsi="Arial" w:cs="Arial"/>
          <w:sz w:val="20"/>
          <w:szCs w:val="20"/>
        </w:rPr>
        <w:t xml:space="preserve"> Department of Insurance</w:t>
      </w:r>
    </w:p>
    <w:p w:rsidR="00D77CAA" w:rsidRDefault="009D71FF" w:rsidP="002B2193">
      <w:pPr>
        <w:autoSpaceDE w:val="0"/>
        <w:autoSpaceDN w:val="0"/>
        <w:adjustRightInd w:val="0"/>
        <w:spacing w:after="0" w:line="240" w:lineRule="auto"/>
        <w:rPr>
          <w:rFonts w:ascii="Arial" w:hAnsi="Arial" w:cs="Arial"/>
          <w:sz w:val="20"/>
          <w:szCs w:val="20"/>
        </w:rPr>
      </w:pPr>
      <w:r>
        <w:rPr>
          <w:rFonts w:ascii="Arial" w:hAnsi="Arial" w:cs="Arial"/>
          <w:sz w:val="20"/>
          <w:szCs w:val="20"/>
        </w:rPr>
        <w:t>300 Capital Mall, 17</w:t>
      </w:r>
      <w:r w:rsidRPr="009D71FF">
        <w:rPr>
          <w:rFonts w:ascii="Arial" w:hAnsi="Arial" w:cs="Arial"/>
          <w:sz w:val="20"/>
          <w:szCs w:val="20"/>
          <w:vertAlign w:val="superscript"/>
        </w:rPr>
        <w:t>th</w:t>
      </w:r>
      <w:r>
        <w:rPr>
          <w:rFonts w:ascii="Arial" w:hAnsi="Arial" w:cs="Arial"/>
          <w:sz w:val="20"/>
          <w:szCs w:val="20"/>
        </w:rPr>
        <w:t xml:space="preserve"> Floor</w:t>
      </w:r>
    </w:p>
    <w:p w:rsidR="00D77CAA" w:rsidRPr="00B43129" w:rsidRDefault="009D71FF" w:rsidP="002B2193">
      <w:pPr>
        <w:autoSpaceDE w:val="0"/>
        <w:autoSpaceDN w:val="0"/>
        <w:adjustRightInd w:val="0"/>
        <w:spacing w:after="0" w:line="240" w:lineRule="auto"/>
        <w:rPr>
          <w:rFonts w:ascii="Arial" w:hAnsi="Arial" w:cs="Arial"/>
          <w:sz w:val="20"/>
          <w:szCs w:val="20"/>
        </w:rPr>
      </w:pPr>
      <w:r>
        <w:rPr>
          <w:rFonts w:ascii="Arial" w:hAnsi="Arial" w:cs="Arial"/>
          <w:sz w:val="20"/>
          <w:szCs w:val="20"/>
        </w:rPr>
        <w:t>Sacramento, CA 95814</w:t>
      </w:r>
    </w:p>
    <w:p w:rsidR="004F5A28" w:rsidRDefault="004F5A28" w:rsidP="002B2193">
      <w:pPr>
        <w:autoSpaceDE w:val="0"/>
        <w:autoSpaceDN w:val="0"/>
        <w:adjustRightInd w:val="0"/>
        <w:spacing w:after="0" w:line="240" w:lineRule="auto"/>
        <w:rPr>
          <w:rFonts w:ascii="Arial" w:hAnsi="Arial" w:cs="Arial"/>
          <w:sz w:val="20"/>
          <w:szCs w:val="20"/>
        </w:rPr>
      </w:pPr>
    </w:p>
    <w:p w:rsidR="001826A2" w:rsidRPr="00B43129" w:rsidRDefault="001826A2" w:rsidP="002B2193">
      <w:pPr>
        <w:autoSpaceDE w:val="0"/>
        <w:autoSpaceDN w:val="0"/>
        <w:adjustRightInd w:val="0"/>
        <w:spacing w:after="0" w:line="240" w:lineRule="auto"/>
        <w:rPr>
          <w:rFonts w:ascii="Arial" w:hAnsi="Arial" w:cs="Arial"/>
          <w:sz w:val="20"/>
          <w:szCs w:val="20"/>
        </w:rPr>
      </w:pPr>
    </w:p>
    <w:p w:rsidR="002B2193" w:rsidRPr="00B43129" w:rsidRDefault="002B2193" w:rsidP="002B2193">
      <w:pPr>
        <w:autoSpaceDE w:val="0"/>
        <w:autoSpaceDN w:val="0"/>
        <w:adjustRightInd w:val="0"/>
        <w:spacing w:after="0" w:line="240" w:lineRule="auto"/>
        <w:rPr>
          <w:rFonts w:ascii="Arial" w:hAnsi="Arial" w:cs="Arial"/>
          <w:sz w:val="20"/>
          <w:szCs w:val="20"/>
        </w:rPr>
      </w:pPr>
    </w:p>
    <w:p w:rsidR="005E5DAC" w:rsidRPr="00B43129" w:rsidRDefault="00B57F94" w:rsidP="00D77CA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 </w:t>
      </w:r>
      <w:r w:rsidR="00CF3252">
        <w:rPr>
          <w:rFonts w:ascii="Arial" w:hAnsi="Arial" w:cs="Arial"/>
          <w:sz w:val="20"/>
          <w:szCs w:val="20"/>
        </w:rPr>
        <w:t>Bulletin 2020-3 – Premium Refunds, Credits, and Reductions in Re</w:t>
      </w:r>
      <w:r w:rsidR="00D402E8">
        <w:rPr>
          <w:rFonts w:ascii="Arial" w:hAnsi="Arial" w:cs="Arial"/>
          <w:sz w:val="20"/>
          <w:szCs w:val="20"/>
        </w:rPr>
        <w:t>s</w:t>
      </w:r>
      <w:r w:rsidR="00CF3252">
        <w:rPr>
          <w:rFonts w:ascii="Arial" w:hAnsi="Arial" w:cs="Arial"/>
          <w:sz w:val="20"/>
          <w:szCs w:val="20"/>
        </w:rPr>
        <w:t>ponse to COVID-19 Pandemic</w:t>
      </w:r>
    </w:p>
    <w:p w:rsidR="00EC0812" w:rsidRPr="001826A2" w:rsidRDefault="004F5A28" w:rsidP="004F5A28">
      <w:pPr>
        <w:autoSpaceDE w:val="0"/>
        <w:autoSpaceDN w:val="0"/>
        <w:adjustRightInd w:val="0"/>
        <w:spacing w:after="0" w:line="240" w:lineRule="auto"/>
        <w:ind w:firstLine="720"/>
        <w:rPr>
          <w:rFonts w:ascii="Arial" w:hAnsi="Arial" w:cs="Arial"/>
          <w:sz w:val="20"/>
          <w:szCs w:val="20"/>
        </w:rPr>
      </w:pPr>
      <w:r w:rsidRPr="00EC0812">
        <w:rPr>
          <w:rFonts w:ascii="Arial" w:hAnsi="Arial" w:cs="Arial"/>
          <w:sz w:val="20"/>
          <w:szCs w:val="20"/>
        </w:rPr>
        <w:t>Insurer:</w:t>
      </w:r>
      <w:r w:rsidRPr="00EC0812">
        <w:rPr>
          <w:rFonts w:ascii="Arial" w:hAnsi="Arial" w:cs="Arial"/>
          <w:sz w:val="20"/>
          <w:szCs w:val="20"/>
        </w:rPr>
        <w:tab/>
      </w:r>
      <w:r w:rsidRPr="00EC0812">
        <w:rPr>
          <w:rFonts w:ascii="Arial" w:hAnsi="Arial" w:cs="Arial"/>
          <w:sz w:val="20"/>
          <w:szCs w:val="20"/>
        </w:rPr>
        <w:tab/>
      </w:r>
      <w:r w:rsidR="00EC0812" w:rsidRPr="001826A2">
        <w:rPr>
          <w:rFonts w:ascii="Arial" w:hAnsi="Arial" w:cs="Arial"/>
          <w:sz w:val="20"/>
          <w:szCs w:val="20"/>
        </w:rPr>
        <w:t>GuideOne Mutual Insurance Company</w:t>
      </w:r>
    </w:p>
    <w:p w:rsidR="004F5A28" w:rsidRDefault="004F5A28" w:rsidP="00EC0812">
      <w:pPr>
        <w:autoSpaceDE w:val="0"/>
        <w:autoSpaceDN w:val="0"/>
        <w:adjustRightInd w:val="0"/>
        <w:spacing w:after="0" w:line="240" w:lineRule="auto"/>
        <w:ind w:left="1440" w:firstLine="720"/>
        <w:rPr>
          <w:rFonts w:ascii="Arial" w:hAnsi="Arial" w:cs="Arial"/>
          <w:sz w:val="20"/>
          <w:szCs w:val="20"/>
        </w:rPr>
      </w:pPr>
      <w:r w:rsidRPr="001826A2">
        <w:rPr>
          <w:rFonts w:ascii="Arial" w:hAnsi="Arial" w:cs="Arial"/>
          <w:sz w:val="20"/>
          <w:szCs w:val="20"/>
        </w:rPr>
        <w:t xml:space="preserve">GuideOne </w:t>
      </w:r>
      <w:r w:rsidR="00674040" w:rsidRPr="001826A2">
        <w:rPr>
          <w:rFonts w:ascii="Arial" w:hAnsi="Arial" w:cs="Arial"/>
          <w:sz w:val="20"/>
          <w:szCs w:val="20"/>
        </w:rPr>
        <w:t xml:space="preserve">Specialty </w:t>
      </w:r>
      <w:r w:rsidRPr="001826A2">
        <w:rPr>
          <w:rFonts w:ascii="Arial" w:hAnsi="Arial" w:cs="Arial"/>
          <w:sz w:val="20"/>
          <w:szCs w:val="20"/>
        </w:rPr>
        <w:t>Mutual Insurance Company</w:t>
      </w:r>
    </w:p>
    <w:p w:rsidR="00B57F94" w:rsidRPr="00EC0812" w:rsidRDefault="00B57F94" w:rsidP="00EC0812">
      <w:pPr>
        <w:autoSpaceDE w:val="0"/>
        <w:autoSpaceDN w:val="0"/>
        <w:adjustRightInd w:val="0"/>
        <w:spacing w:after="0" w:line="240" w:lineRule="auto"/>
        <w:ind w:left="1440" w:firstLine="720"/>
        <w:rPr>
          <w:rFonts w:ascii="Arial" w:hAnsi="Arial" w:cs="Arial"/>
          <w:sz w:val="20"/>
          <w:szCs w:val="20"/>
        </w:rPr>
      </w:pPr>
      <w:r>
        <w:rPr>
          <w:rFonts w:ascii="Arial" w:hAnsi="Arial" w:cs="Arial"/>
          <w:sz w:val="20"/>
          <w:szCs w:val="20"/>
        </w:rPr>
        <w:t xml:space="preserve">GuideOne National Insurance Company </w:t>
      </w:r>
    </w:p>
    <w:p w:rsidR="00EC0812" w:rsidRDefault="004F5A28" w:rsidP="004F5A28">
      <w:pPr>
        <w:autoSpaceDE w:val="0"/>
        <w:autoSpaceDN w:val="0"/>
        <w:adjustRightInd w:val="0"/>
        <w:spacing w:after="0" w:line="240" w:lineRule="auto"/>
        <w:ind w:firstLine="720"/>
        <w:rPr>
          <w:rFonts w:ascii="Arial" w:hAnsi="Arial" w:cs="Arial"/>
          <w:sz w:val="20"/>
          <w:szCs w:val="20"/>
        </w:rPr>
      </w:pPr>
      <w:r w:rsidRPr="00EC0812">
        <w:rPr>
          <w:rFonts w:ascii="Arial" w:hAnsi="Arial" w:cs="Arial"/>
          <w:sz w:val="20"/>
          <w:szCs w:val="20"/>
        </w:rPr>
        <w:t>NAIC</w:t>
      </w:r>
      <w:r w:rsidR="00B57F94">
        <w:rPr>
          <w:rFonts w:ascii="Arial" w:hAnsi="Arial" w:cs="Arial"/>
          <w:sz w:val="20"/>
          <w:szCs w:val="20"/>
        </w:rPr>
        <w:t>:</w:t>
      </w:r>
      <w:r w:rsidR="007A2DD5">
        <w:rPr>
          <w:rFonts w:ascii="Arial" w:hAnsi="Arial" w:cs="Arial"/>
          <w:sz w:val="20"/>
          <w:szCs w:val="20"/>
        </w:rPr>
        <w:tab/>
      </w:r>
      <w:r w:rsidR="00B57F94">
        <w:rPr>
          <w:rFonts w:ascii="Arial" w:hAnsi="Arial" w:cs="Arial"/>
          <w:sz w:val="20"/>
          <w:szCs w:val="20"/>
        </w:rPr>
        <w:tab/>
        <w:t>303</w:t>
      </w:r>
      <w:r w:rsidR="007A2DD5">
        <w:rPr>
          <w:rFonts w:ascii="Arial" w:hAnsi="Arial" w:cs="Arial"/>
          <w:sz w:val="20"/>
          <w:szCs w:val="20"/>
        </w:rPr>
        <w:t>-15032</w:t>
      </w:r>
    </w:p>
    <w:p w:rsidR="007A2DD5" w:rsidRPr="001826A2" w:rsidRDefault="007A2DD5" w:rsidP="004F5A28">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ab/>
      </w:r>
      <w:r>
        <w:rPr>
          <w:rFonts w:ascii="Arial" w:hAnsi="Arial" w:cs="Arial"/>
          <w:sz w:val="20"/>
          <w:szCs w:val="20"/>
        </w:rPr>
        <w:tab/>
        <w:t>303-14559</w:t>
      </w:r>
    </w:p>
    <w:p w:rsidR="004F5A28" w:rsidRPr="00B43129" w:rsidRDefault="007A2DD5" w:rsidP="00EC0812">
      <w:pPr>
        <w:autoSpaceDE w:val="0"/>
        <w:autoSpaceDN w:val="0"/>
        <w:adjustRightInd w:val="0"/>
        <w:spacing w:after="0" w:line="240" w:lineRule="auto"/>
        <w:ind w:left="1440" w:firstLine="720"/>
        <w:rPr>
          <w:rFonts w:ascii="Arial" w:hAnsi="Arial" w:cs="Arial"/>
          <w:sz w:val="20"/>
          <w:szCs w:val="20"/>
        </w:rPr>
      </w:pPr>
      <w:r>
        <w:rPr>
          <w:rFonts w:ascii="Arial" w:hAnsi="Arial" w:cs="Arial"/>
          <w:sz w:val="20"/>
          <w:szCs w:val="20"/>
        </w:rPr>
        <w:t>303-14167</w:t>
      </w:r>
    </w:p>
    <w:p w:rsidR="004F5A28" w:rsidRDefault="004F5A28" w:rsidP="004F5A28">
      <w:pPr>
        <w:autoSpaceDE w:val="0"/>
        <w:autoSpaceDN w:val="0"/>
        <w:adjustRightInd w:val="0"/>
        <w:spacing w:after="0" w:line="240" w:lineRule="auto"/>
        <w:ind w:firstLine="720"/>
        <w:rPr>
          <w:rFonts w:ascii="Arial" w:hAnsi="Arial" w:cs="Arial"/>
          <w:sz w:val="20"/>
          <w:szCs w:val="20"/>
        </w:rPr>
      </w:pPr>
    </w:p>
    <w:p w:rsidR="001826A2" w:rsidRPr="00B43129" w:rsidRDefault="001826A2" w:rsidP="004F5A28">
      <w:pPr>
        <w:autoSpaceDE w:val="0"/>
        <w:autoSpaceDN w:val="0"/>
        <w:adjustRightInd w:val="0"/>
        <w:spacing w:after="0" w:line="240" w:lineRule="auto"/>
        <w:ind w:firstLine="720"/>
        <w:rPr>
          <w:rFonts w:ascii="Arial" w:hAnsi="Arial" w:cs="Arial"/>
          <w:sz w:val="20"/>
          <w:szCs w:val="20"/>
        </w:rPr>
      </w:pPr>
    </w:p>
    <w:p w:rsidR="004F5A28" w:rsidRPr="00B43129" w:rsidRDefault="004F5A28" w:rsidP="004F5A28">
      <w:pPr>
        <w:autoSpaceDE w:val="0"/>
        <w:autoSpaceDN w:val="0"/>
        <w:adjustRightInd w:val="0"/>
        <w:spacing w:after="0" w:line="240" w:lineRule="auto"/>
        <w:ind w:firstLine="720"/>
        <w:rPr>
          <w:rFonts w:ascii="Arial" w:hAnsi="Arial" w:cs="Arial"/>
          <w:sz w:val="20"/>
          <w:szCs w:val="20"/>
        </w:rPr>
      </w:pPr>
    </w:p>
    <w:p w:rsidR="004F5A28" w:rsidRPr="00B43129" w:rsidRDefault="005E5DAC" w:rsidP="004F5A28">
      <w:pPr>
        <w:autoSpaceDE w:val="0"/>
        <w:autoSpaceDN w:val="0"/>
        <w:adjustRightInd w:val="0"/>
        <w:spacing w:after="0" w:line="240" w:lineRule="auto"/>
        <w:rPr>
          <w:rFonts w:ascii="Arial" w:hAnsi="Arial" w:cs="Arial"/>
          <w:sz w:val="20"/>
          <w:szCs w:val="20"/>
        </w:rPr>
      </w:pPr>
      <w:r w:rsidRPr="00B43129">
        <w:rPr>
          <w:rFonts w:ascii="Arial" w:hAnsi="Arial" w:cs="Arial"/>
          <w:sz w:val="20"/>
          <w:szCs w:val="20"/>
        </w:rPr>
        <w:t xml:space="preserve">Dear </w:t>
      </w:r>
      <w:r w:rsidR="009D71FF">
        <w:rPr>
          <w:rFonts w:ascii="Arial" w:hAnsi="Arial" w:cs="Arial"/>
          <w:sz w:val="20"/>
          <w:szCs w:val="20"/>
        </w:rPr>
        <w:t>Commissioner Lara</w:t>
      </w:r>
      <w:r w:rsidR="004F5A28" w:rsidRPr="00B43129">
        <w:rPr>
          <w:rFonts w:ascii="Arial" w:hAnsi="Arial" w:cs="Arial"/>
          <w:sz w:val="20"/>
          <w:szCs w:val="20"/>
        </w:rPr>
        <w:t>:</w:t>
      </w:r>
    </w:p>
    <w:p w:rsidR="0095058C" w:rsidRDefault="0095058C" w:rsidP="00B3280D">
      <w:pPr>
        <w:autoSpaceDE w:val="0"/>
        <w:autoSpaceDN w:val="0"/>
        <w:adjustRightInd w:val="0"/>
        <w:spacing w:after="0" w:line="240" w:lineRule="auto"/>
        <w:rPr>
          <w:rFonts w:ascii="Arial" w:hAnsi="Arial" w:cs="Arial"/>
          <w:sz w:val="20"/>
          <w:szCs w:val="20"/>
        </w:rPr>
      </w:pPr>
    </w:p>
    <w:p w:rsidR="00D402E8" w:rsidRDefault="00D402E8" w:rsidP="00B3280D">
      <w:pPr>
        <w:autoSpaceDE w:val="0"/>
        <w:autoSpaceDN w:val="0"/>
        <w:adjustRightInd w:val="0"/>
        <w:spacing w:after="0" w:line="240" w:lineRule="auto"/>
        <w:rPr>
          <w:rFonts w:ascii="Arial" w:hAnsi="Arial" w:cs="Arial"/>
          <w:sz w:val="20"/>
          <w:szCs w:val="20"/>
        </w:rPr>
      </w:pPr>
      <w:r>
        <w:rPr>
          <w:rFonts w:ascii="Arial" w:hAnsi="Arial" w:cs="Arial"/>
          <w:sz w:val="20"/>
          <w:szCs w:val="20"/>
        </w:rPr>
        <w:t>GuideOne Insurance recognizes the unprecedented nature of</w:t>
      </w:r>
      <w:r w:rsidR="000C59B6">
        <w:rPr>
          <w:rFonts w:ascii="Arial" w:hAnsi="Arial" w:cs="Arial"/>
          <w:sz w:val="20"/>
          <w:szCs w:val="20"/>
        </w:rPr>
        <w:t xml:space="preserve"> the events surrounding</w:t>
      </w:r>
      <w:r>
        <w:rPr>
          <w:rFonts w:ascii="Arial" w:hAnsi="Arial" w:cs="Arial"/>
          <w:sz w:val="20"/>
          <w:szCs w:val="20"/>
        </w:rPr>
        <w:t xml:space="preserve"> COVID-19 and the impact to the people of California.  To ensure we provide appropriate accommodations to our policyholders through these difficult times, we instituted</w:t>
      </w:r>
      <w:r w:rsidR="000C59B6">
        <w:rPr>
          <w:rFonts w:ascii="Arial" w:hAnsi="Arial" w:cs="Arial"/>
          <w:sz w:val="20"/>
          <w:szCs w:val="20"/>
        </w:rPr>
        <w:t xml:space="preserve"> a 60 day grace period on cancellations due to non-payment of premium on a countrywide basis.  In addition, we are not assessing any late fees or non-sufficient funds fees during this grace period.  GuideOne continues to work with our insureds to ensure we are flexible during these unique times.</w:t>
      </w:r>
      <w:r w:rsidR="00997050">
        <w:rPr>
          <w:rFonts w:ascii="Arial" w:hAnsi="Arial" w:cs="Arial"/>
          <w:sz w:val="20"/>
          <w:szCs w:val="20"/>
        </w:rPr>
        <w:t xml:space="preserve">  We continue to accept individual requests for those that have suffered a hardship as a result of COVID-19 </w:t>
      </w:r>
      <w:r w:rsidR="00B44957">
        <w:rPr>
          <w:rFonts w:ascii="Arial" w:hAnsi="Arial" w:cs="Arial"/>
          <w:sz w:val="20"/>
          <w:szCs w:val="20"/>
        </w:rPr>
        <w:t xml:space="preserve">and offer </w:t>
      </w:r>
      <w:r w:rsidR="00997050">
        <w:rPr>
          <w:rFonts w:ascii="Arial" w:hAnsi="Arial" w:cs="Arial"/>
          <w:sz w:val="20"/>
          <w:szCs w:val="20"/>
        </w:rPr>
        <w:t>flexibility and options regarding premium payments.</w:t>
      </w:r>
    </w:p>
    <w:p w:rsidR="000C59B6" w:rsidRDefault="000C59B6" w:rsidP="00B3280D">
      <w:pPr>
        <w:autoSpaceDE w:val="0"/>
        <w:autoSpaceDN w:val="0"/>
        <w:adjustRightInd w:val="0"/>
        <w:spacing w:after="0" w:line="240" w:lineRule="auto"/>
        <w:rPr>
          <w:rFonts w:ascii="Arial" w:hAnsi="Arial" w:cs="Arial"/>
          <w:sz w:val="20"/>
          <w:szCs w:val="20"/>
        </w:rPr>
      </w:pPr>
    </w:p>
    <w:p w:rsidR="00305D8D" w:rsidRDefault="00F353E9" w:rsidP="00B3280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GuideOne has </w:t>
      </w:r>
      <w:r w:rsidR="00D85522">
        <w:rPr>
          <w:rFonts w:ascii="Arial" w:hAnsi="Arial" w:cs="Arial"/>
          <w:sz w:val="20"/>
          <w:szCs w:val="20"/>
        </w:rPr>
        <w:t xml:space="preserve">done a full analysis of our book and we do not believe an overall premium refund is warranted given the classes of business in which we write.  Rather, we have </w:t>
      </w:r>
      <w:r>
        <w:rPr>
          <w:rFonts w:ascii="Arial" w:hAnsi="Arial" w:cs="Arial"/>
          <w:sz w:val="20"/>
          <w:szCs w:val="20"/>
        </w:rPr>
        <w:t xml:space="preserve">chosen to assess any reduced exposures and corresponding premium adjustments on an account by account basis.  </w:t>
      </w:r>
      <w:r w:rsidR="00305D8D">
        <w:rPr>
          <w:rFonts w:ascii="Arial" w:hAnsi="Arial" w:cs="Arial"/>
          <w:sz w:val="20"/>
          <w:szCs w:val="20"/>
        </w:rPr>
        <w:t>Given the nature of commercial business and the variance in what is considered “essential business” in the state, we believe this is the appropriate course of action.</w:t>
      </w:r>
    </w:p>
    <w:p w:rsidR="00997050" w:rsidRDefault="00997050" w:rsidP="00B3280D">
      <w:pPr>
        <w:autoSpaceDE w:val="0"/>
        <w:autoSpaceDN w:val="0"/>
        <w:adjustRightInd w:val="0"/>
        <w:spacing w:after="0" w:line="240" w:lineRule="auto"/>
        <w:rPr>
          <w:rFonts w:ascii="Arial" w:hAnsi="Arial" w:cs="Arial"/>
          <w:sz w:val="20"/>
          <w:szCs w:val="20"/>
        </w:rPr>
      </w:pPr>
    </w:p>
    <w:p w:rsidR="00997050" w:rsidRDefault="00997050" w:rsidP="00B3280D">
      <w:pPr>
        <w:autoSpaceDE w:val="0"/>
        <w:autoSpaceDN w:val="0"/>
        <w:adjustRightInd w:val="0"/>
        <w:spacing w:after="0" w:line="240" w:lineRule="auto"/>
        <w:rPr>
          <w:rFonts w:ascii="Arial" w:hAnsi="Arial" w:cs="Arial"/>
          <w:sz w:val="20"/>
          <w:szCs w:val="20"/>
        </w:rPr>
      </w:pPr>
      <w:r>
        <w:rPr>
          <w:rFonts w:ascii="Arial" w:hAnsi="Arial" w:cs="Arial"/>
          <w:sz w:val="20"/>
          <w:szCs w:val="20"/>
        </w:rPr>
        <w:t>GuideOne is a niche insurance carrier with our primary niche focus being Religious Organizations, Education, Non-Profit and Human Services and Senior Living Communities.  Given the focus of these niches, the vast majority of our insureds were considered “essential workers”.  Given the increased exposure w</w:t>
      </w:r>
      <w:r w:rsidR="001B4AC1">
        <w:rPr>
          <w:rFonts w:ascii="Arial" w:hAnsi="Arial" w:cs="Arial"/>
          <w:sz w:val="20"/>
          <w:szCs w:val="20"/>
        </w:rPr>
        <w:t>ith COVID-19 and the fact that the majority of our insureds were “essential workers” we do not believe any additional premium adjustments beyond those outlined below are warranted.</w:t>
      </w:r>
    </w:p>
    <w:p w:rsidR="00305D8D" w:rsidRDefault="00305D8D" w:rsidP="00B3280D">
      <w:pPr>
        <w:autoSpaceDE w:val="0"/>
        <w:autoSpaceDN w:val="0"/>
        <w:adjustRightInd w:val="0"/>
        <w:spacing w:after="0" w:line="240" w:lineRule="auto"/>
        <w:rPr>
          <w:rFonts w:ascii="Arial" w:hAnsi="Arial" w:cs="Arial"/>
          <w:sz w:val="20"/>
          <w:szCs w:val="20"/>
        </w:rPr>
      </w:pPr>
    </w:p>
    <w:p w:rsidR="000C59B6" w:rsidRDefault="000C59B6" w:rsidP="00B3280D">
      <w:pPr>
        <w:autoSpaceDE w:val="0"/>
        <w:autoSpaceDN w:val="0"/>
        <w:adjustRightInd w:val="0"/>
        <w:spacing w:after="0" w:line="240" w:lineRule="auto"/>
        <w:rPr>
          <w:rFonts w:ascii="Arial" w:hAnsi="Arial" w:cs="Arial"/>
          <w:sz w:val="20"/>
          <w:szCs w:val="20"/>
        </w:rPr>
      </w:pPr>
      <w:r>
        <w:rPr>
          <w:rFonts w:ascii="Arial" w:hAnsi="Arial" w:cs="Arial"/>
          <w:sz w:val="20"/>
          <w:szCs w:val="20"/>
        </w:rPr>
        <w:t>In accordance with Bulletin 2020-3, we have provided the below information identifying by line of business</w:t>
      </w:r>
      <w:r w:rsidR="00D85522">
        <w:rPr>
          <w:rFonts w:ascii="Arial" w:hAnsi="Arial" w:cs="Arial"/>
          <w:sz w:val="20"/>
          <w:szCs w:val="20"/>
        </w:rPr>
        <w:t>.</w:t>
      </w:r>
      <w:r>
        <w:rPr>
          <w:rFonts w:ascii="Arial" w:hAnsi="Arial" w:cs="Arial"/>
          <w:sz w:val="20"/>
          <w:szCs w:val="20"/>
        </w:rPr>
        <w:t xml:space="preserve"> </w:t>
      </w:r>
    </w:p>
    <w:p w:rsidR="0095058C" w:rsidRDefault="0095058C" w:rsidP="00B3280D">
      <w:pPr>
        <w:autoSpaceDE w:val="0"/>
        <w:autoSpaceDN w:val="0"/>
        <w:adjustRightInd w:val="0"/>
        <w:spacing w:after="0" w:line="240" w:lineRule="auto"/>
        <w:rPr>
          <w:rFonts w:ascii="Arial" w:hAnsi="Arial" w:cs="Arial"/>
          <w:sz w:val="20"/>
          <w:szCs w:val="20"/>
        </w:rPr>
      </w:pPr>
    </w:p>
    <w:p w:rsidR="007D656E" w:rsidRPr="00DD2838" w:rsidRDefault="009D71FF" w:rsidP="002B2193">
      <w:pPr>
        <w:rPr>
          <w:rFonts w:ascii="Arial" w:hAnsi="Arial" w:cs="Arial"/>
          <w:b/>
          <w:sz w:val="20"/>
          <w:szCs w:val="20"/>
        </w:rPr>
      </w:pPr>
      <w:r w:rsidRPr="00DD2838">
        <w:rPr>
          <w:rFonts w:ascii="Arial" w:hAnsi="Arial" w:cs="Arial"/>
          <w:b/>
          <w:sz w:val="20"/>
          <w:szCs w:val="20"/>
        </w:rPr>
        <w:t xml:space="preserve">Commercial Automobile </w:t>
      </w:r>
    </w:p>
    <w:p w:rsidR="009D71FF" w:rsidRDefault="00A42998" w:rsidP="002B2193">
      <w:pPr>
        <w:rPr>
          <w:rFonts w:ascii="Arial" w:hAnsi="Arial" w:cs="Arial"/>
          <w:sz w:val="20"/>
          <w:szCs w:val="20"/>
        </w:rPr>
      </w:pPr>
      <w:r>
        <w:rPr>
          <w:rFonts w:ascii="Arial" w:hAnsi="Arial" w:cs="Arial"/>
          <w:sz w:val="20"/>
          <w:szCs w:val="20"/>
        </w:rPr>
        <w:t>GuideOne is offering insured’s who have ceased the use of their vehicles during the COVID-19 pandemic the opportunity to suspend their coverage.  The insured is prorated the return premium for the period of suspension.</w:t>
      </w:r>
      <w:r w:rsidR="00EF4C04">
        <w:rPr>
          <w:rFonts w:ascii="Arial" w:hAnsi="Arial" w:cs="Arial"/>
          <w:sz w:val="20"/>
          <w:szCs w:val="20"/>
        </w:rPr>
        <w:t xml:space="preserve">  This would ensure that our insureds recognize the full benefit of their reduced exposure by pro-rating the entirety of their premium for the suspended coverage.</w:t>
      </w:r>
    </w:p>
    <w:p w:rsidR="0004557A" w:rsidRDefault="0004557A" w:rsidP="002B2193">
      <w:pPr>
        <w:rPr>
          <w:rFonts w:ascii="Arial" w:hAnsi="Arial" w:cs="Arial"/>
          <w:sz w:val="20"/>
          <w:szCs w:val="20"/>
        </w:rPr>
      </w:pPr>
      <w:r>
        <w:rPr>
          <w:rFonts w:ascii="Arial" w:hAnsi="Arial" w:cs="Arial"/>
          <w:sz w:val="20"/>
          <w:szCs w:val="20"/>
        </w:rPr>
        <w:lastRenderedPageBreak/>
        <w:t>Rather than providing a blanket credit or premium reduction to all insureds, w</w:t>
      </w:r>
      <w:r w:rsidR="00A42998">
        <w:rPr>
          <w:rFonts w:ascii="Arial" w:hAnsi="Arial" w:cs="Arial"/>
          <w:sz w:val="20"/>
          <w:szCs w:val="20"/>
        </w:rPr>
        <w:t>e believe this is the most appropriate actio</w:t>
      </w:r>
      <w:r w:rsidR="005A64D9">
        <w:rPr>
          <w:rFonts w:ascii="Arial" w:hAnsi="Arial" w:cs="Arial"/>
          <w:sz w:val="20"/>
          <w:szCs w:val="20"/>
        </w:rPr>
        <w:t xml:space="preserve">n as it addresses the true reduction of exposure while allowing flexibility to our insureds to halt coverage for vehicles not operated during the state’s emergency order.  </w:t>
      </w:r>
    </w:p>
    <w:p w:rsidR="00D85522" w:rsidRPr="00D85522" w:rsidRDefault="00D85522" w:rsidP="002B2193">
      <w:pPr>
        <w:rPr>
          <w:rFonts w:ascii="Arial" w:hAnsi="Arial" w:cs="Arial"/>
          <w:sz w:val="20"/>
          <w:szCs w:val="20"/>
        </w:rPr>
      </w:pPr>
      <w:r w:rsidRPr="00D85522">
        <w:rPr>
          <w:rFonts w:ascii="Arial" w:hAnsi="Arial" w:cs="Arial"/>
          <w:sz w:val="20"/>
          <w:szCs w:val="20"/>
        </w:rPr>
        <w:t>In addition to our Core Business niches, we write two additional programs. The vast majority of this premium falls in our Oil &amp; Gas Fuel Haulers program. Given the essential nature of this business and their continued operations throughout COVID-19, no premium adjustment is necessary at this time. However, we are offering the option of auto suspe</w:t>
      </w:r>
      <w:r>
        <w:rPr>
          <w:rFonts w:ascii="Arial" w:hAnsi="Arial" w:cs="Arial"/>
          <w:sz w:val="20"/>
          <w:szCs w:val="20"/>
        </w:rPr>
        <w:t>nsions as well, should any vehicles</w:t>
      </w:r>
      <w:r w:rsidRPr="00D85522">
        <w:rPr>
          <w:rFonts w:ascii="Arial" w:hAnsi="Arial" w:cs="Arial"/>
          <w:sz w:val="20"/>
          <w:szCs w:val="20"/>
        </w:rPr>
        <w:t xml:space="preserve"> be out of service. </w:t>
      </w:r>
    </w:p>
    <w:p w:rsidR="00D36039" w:rsidRDefault="00D36039" w:rsidP="002B2193">
      <w:pPr>
        <w:rPr>
          <w:rFonts w:ascii="Arial" w:hAnsi="Arial" w:cs="Arial"/>
          <w:sz w:val="20"/>
          <w:szCs w:val="20"/>
        </w:rPr>
      </w:pPr>
      <w:r>
        <w:rPr>
          <w:rFonts w:ascii="Arial" w:hAnsi="Arial" w:cs="Arial"/>
          <w:sz w:val="20"/>
          <w:szCs w:val="20"/>
        </w:rPr>
        <w:t>Finally, given our niche focus and the industry segments we serve, our filed rating plan already contemplates a reduced usage based on the nature of our insureds.  Below is a representation of our current Loss Cost, LCM and Rate in relation to ISO.  This is consistent across the territories within the state of California and with both School/Church buses and Private Passenger Autos.</w:t>
      </w:r>
    </w:p>
    <w:p w:rsidR="00D36039" w:rsidRDefault="00D36039" w:rsidP="00D36039">
      <w:pPr>
        <w:jc w:val="center"/>
        <w:rPr>
          <w:rFonts w:ascii="Arial" w:hAnsi="Arial" w:cs="Arial"/>
          <w:sz w:val="20"/>
          <w:szCs w:val="20"/>
        </w:rPr>
      </w:pPr>
      <w:r>
        <w:rPr>
          <w:noProof/>
          <w:color w:val="1F497D"/>
        </w:rPr>
        <w:drawing>
          <wp:inline distT="0" distB="0" distL="0" distR="0">
            <wp:extent cx="2392680" cy="1303020"/>
            <wp:effectExtent l="0" t="0" r="7620" b="0"/>
            <wp:docPr id="2" name="Picture 2" descr="cid:image002.png@01D62CF7.EA9E5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62CF7.EA9E5E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392680" cy="1303020"/>
                    </a:xfrm>
                    <a:prstGeom prst="rect">
                      <a:avLst/>
                    </a:prstGeom>
                    <a:noFill/>
                    <a:ln>
                      <a:noFill/>
                    </a:ln>
                  </pic:spPr>
                </pic:pic>
              </a:graphicData>
            </a:graphic>
          </wp:inline>
        </w:drawing>
      </w:r>
    </w:p>
    <w:p w:rsidR="00A946C4" w:rsidRPr="003378FD" w:rsidRDefault="00A946C4" w:rsidP="002B2193">
      <w:pPr>
        <w:rPr>
          <w:rFonts w:ascii="Arial" w:hAnsi="Arial" w:cs="Arial"/>
          <w:sz w:val="20"/>
          <w:szCs w:val="20"/>
        </w:rPr>
      </w:pPr>
      <w:r w:rsidRPr="00A946C4">
        <w:rPr>
          <w:rFonts w:ascii="Arial" w:hAnsi="Arial" w:cs="Arial"/>
          <w:sz w:val="20"/>
          <w:szCs w:val="20"/>
        </w:rPr>
        <w:t>We will continue to work with our insureds on a case by case basis who have seen a significant impact due to COVID-19 and their auto usage.</w:t>
      </w:r>
    </w:p>
    <w:p w:rsidR="009D71FF" w:rsidRPr="00DD2838" w:rsidRDefault="009D71FF" w:rsidP="002B2193">
      <w:pPr>
        <w:rPr>
          <w:rFonts w:ascii="Arial" w:hAnsi="Arial" w:cs="Arial"/>
          <w:b/>
          <w:sz w:val="20"/>
          <w:szCs w:val="20"/>
        </w:rPr>
      </w:pPr>
      <w:r w:rsidRPr="00DD2838">
        <w:rPr>
          <w:rFonts w:ascii="Arial" w:hAnsi="Arial" w:cs="Arial"/>
          <w:b/>
          <w:sz w:val="20"/>
          <w:szCs w:val="20"/>
        </w:rPr>
        <w:t>Workers’ Compensation</w:t>
      </w:r>
    </w:p>
    <w:p w:rsidR="001B4AC1" w:rsidRDefault="001B4AC1" w:rsidP="002B2193">
      <w:pPr>
        <w:rPr>
          <w:rFonts w:ascii="Arial" w:hAnsi="Arial" w:cs="Arial"/>
          <w:sz w:val="20"/>
          <w:szCs w:val="20"/>
        </w:rPr>
      </w:pPr>
      <w:r>
        <w:rPr>
          <w:rFonts w:ascii="Arial" w:hAnsi="Arial" w:cs="Arial"/>
          <w:sz w:val="20"/>
          <w:szCs w:val="20"/>
        </w:rPr>
        <w:t>A large portion of the GuideOne Workers’ Compensation book of business is in the Senior Living Community space.  With the recent passing of Governor Gavin Newsom’s Executive Order N-62-60, which created a rebuttable presumption that an employee’s COVID-19-related illness arose out of the course of employment for purposes of obtaining workers’ compensation benefits, we believe there has been a potentially significant increase in exposure that was not contemplated in our filed rating plan.</w:t>
      </w:r>
    </w:p>
    <w:p w:rsidR="005A64D9" w:rsidRDefault="001B4AC1" w:rsidP="002B2193">
      <w:pPr>
        <w:rPr>
          <w:rFonts w:ascii="Arial" w:hAnsi="Arial" w:cs="Arial"/>
          <w:sz w:val="20"/>
          <w:szCs w:val="20"/>
        </w:rPr>
      </w:pPr>
      <w:r>
        <w:rPr>
          <w:rFonts w:ascii="Arial" w:hAnsi="Arial" w:cs="Arial"/>
          <w:sz w:val="20"/>
          <w:szCs w:val="20"/>
        </w:rPr>
        <w:t>In addition, a</w:t>
      </w:r>
      <w:r w:rsidR="005A64D9">
        <w:rPr>
          <w:rFonts w:ascii="Arial" w:hAnsi="Arial" w:cs="Arial"/>
          <w:sz w:val="20"/>
          <w:szCs w:val="20"/>
        </w:rPr>
        <w:t>ll GuideOne workers’ compensation business is subject to premium audit to reflect accurate payroll and exposure for the policy period.</w:t>
      </w:r>
    </w:p>
    <w:p w:rsidR="009D71FF" w:rsidRPr="009D71FF" w:rsidRDefault="005A64D9" w:rsidP="002B2193">
      <w:pPr>
        <w:rPr>
          <w:rFonts w:ascii="Arial" w:hAnsi="Arial" w:cs="Arial"/>
          <w:sz w:val="20"/>
          <w:szCs w:val="20"/>
        </w:rPr>
      </w:pPr>
      <w:r>
        <w:rPr>
          <w:rFonts w:ascii="Arial" w:hAnsi="Arial" w:cs="Arial"/>
          <w:sz w:val="20"/>
          <w:szCs w:val="20"/>
        </w:rPr>
        <w:t xml:space="preserve">As noted above, GuideOne has instituted a 60 countrywide grace period for premium payments in which we will not assess late fees or cancel for non-payment.  Given the </w:t>
      </w:r>
      <w:r w:rsidR="00346208">
        <w:rPr>
          <w:rFonts w:ascii="Arial" w:hAnsi="Arial" w:cs="Arial"/>
          <w:sz w:val="20"/>
          <w:szCs w:val="20"/>
        </w:rPr>
        <w:t xml:space="preserve">recent guidance </w:t>
      </w:r>
      <w:r w:rsidR="00F353E9">
        <w:rPr>
          <w:rFonts w:ascii="Arial" w:hAnsi="Arial" w:cs="Arial"/>
          <w:sz w:val="20"/>
          <w:szCs w:val="20"/>
        </w:rPr>
        <w:t>following a meeting between APCIA staff and Deputy Commissioner Ken Allen, we will address any premium reduction through the annual audit process as we have already provided premium accommodations through the application of a grace period.</w:t>
      </w:r>
    </w:p>
    <w:p w:rsidR="009D71FF" w:rsidRPr="00DD2838" w:rsidRDefault="009D71FF" w:rsidP="002B2193">
      <w:pPr>
        <w:rPr>
          <w:rFonts w:ascii="Arial" w:hAnsi="Arial" w:cs="Arial"/>
          <w:b/>
          <w:sz w:val="20"/>
          <w:szCs w:val="20"/>
        </w:rPr>
      </w:pPr>
      <w:r w:rsidRPr="00DD2838">
        <w:rPr>
          <w:rFonts w:ascii="Arial" w:hAnsi="Arial" w:cs="Arial"/>
          <w:b/>
          <w:sz w:val="20"/>
          <w:szCs w:val="20"/>
        </w:rPr>
        <w:t>Commercial Multiple Peril</w:t>
      </w:r>
    </w:p>
    <w:p w:rsidR="00DD2838" w:rsidRDefault="00DD2838" w:rsidP="004A7B31">
      <w:pPr>
        <w:rPr>
          <w:rFonts w:ascii="Arial" w:hAnsi="Arial" w:cs="Arial"/>
          <w:sz w:val="20"/>
          <w:szCs w:val="20"/>
        </w:rPr>
      </w:pPr>
      <w:r w:rsidRPr="00DD2838">
        <w:rPr>
          <w:rFonts w:ascii="Arial" w:hAnsi="Arial" w:cs="Arial"/>
          <w:sz w:val="20"/>
          <w:szCs w:val="20"/>
          <w:u w:val="single"/>
        </w:rPr>
        <w:t>Commercial Property</w:t>
      </w:r>
      <w:r>
        <w:rPr>
          <w:rFonts w:ascii="Arial" w:hAnsi="Arial" w:cs="Arial"/>
          <w:sz w:val="20"/>
          <w:szCs w:val="20"/>
        </w:rPr>
        <w:t xml:space="preserve"> – GuideOne does not believe there has been any reduction in exposure as it relates to commercial property.  </w:t>
      </w:r>
      <w:r w:rsidR="001B4AC1">
        <w:rPr>
          <w:rFonts w:ascii="Arial" w:hAnsi="Arial" w:cs="Arial"/>
          <w:sz w:val="20"/>
          <w:szCs w:val="20"/>
        </w:rPr>
        <w:t>We have done a By Peril assessment and provide it below.  This reflects the anticipated impact of COVID-19 as it relates to our historical property claims.</w:t>
      </w:r>
    </w:p>
    <w:p w:rsidR="001B4AC1" w:rsidRDefault="001B4AC1" w:rsidP="004A7B31">
      <w:pPr>
        <w:rPr>
          <w:rFonts w:ascii="Arial" w:hAnsi="Arial" w:cs="Arial"/>
          <w:sz w:val="20"/>
          <w:szCs w:val="20"/>
        </w:rPr>
      </w:pPr>
      <w:r>
        <w:rPr>
          <w:noProof/>
          <w:color w:val="1F497D"/>
        </w:rPr>
        <w:lastRenderedPageBreak/>
        <w:drawing>
          <wp:inline distT="0" distB="0" distL="0" distR="0" wp14:anchorId="51DDFCA3" wp14:editId="4C31C80B">
            <wp:extent cx="5943600" cy="1957705"/>
            <wp:effectExtent l="0" t="0" r="0" b="4445"/>
            <wp:docPr id="1" name="Picture 1" descr="cid:image003.png@01D62AAD.D7E6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2AAD.D7E695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1957705"/>
                    </a:xfrm>
                    <a:prstGeom prst="rect">
                      <a:avLst/>
                    </a:prstGeom>
                    <a:noFill/>
                    <a:ln>
                      <a:noFill/>
                    </a:ln>
                  </pic:spPr>
                </pic:pic>
              </a:graphicData>
            </a:graphic>
          </wp:inline>
        </w:drawing>
      </w:r>
    </w:p>
    <w:p w:rsidR="001B4AC1" w:rsidRPr="009D71FF" w:rsidRDefault="007E15A2" w:rsidP="004A7B31">
      <w:pPr>
        <w:rPr>
          <w:rFonts w:ascii="Arial" w:hAnsi="Arial" w:cs="Arial"/>
          <w:sz w:val="20"/>
          <w:szCs w:val="20"/>
        </w:rPr>
      </w:pPr>
      <w:r>
        <w:rPr>
          <w:rFonts w:ascii="Arial" w:hAnsi="Arial" w:cs="Arial"/>
          <w:sz w:val="20"/>
          <w:szCs w:val="20"/>
        </w:rPr>
        <w:t>Regarding our non-admitted and Program business, all perils present the same exposure as pre-COVID.  We expect a slight increase in exposure similar to those identified in the above chart.  In addition, we see no reduced exposure on our earthquake program given the peril.</w:t>
      </w:r>
    </w:p>
    <w:p w:rsidR="009D71FF" w:rsidRPr="00DD2838" w:rsidRDefault="009D71FF" w:rsidP="002B2193">
      <w:pPr>
        <w:rPr>
          <w:rFonts w:ascii="Arial" w:hAnsi="Arial" w:cs="Arial"/>
          <w:sz w:val="20"/>
          <w:szCs w:val="20"/>
        </w:rPr>
      </w:pPr>
      <w:r w:rsidRPr="009D71FF">
        <w:rPr>
          <w:rFonts w:ascii="Arial" w:hAnsi="Arial" w:cs="Arial"/>
          <w:sz w:val="20"/>
          <w:szCs w:val="20"/>
          <w:u w:val="single"/>
        </w:rPr>
        <w:t>Commercial Liability</w:t>
      </w:r>
      <w:r w:rsidR="00DD2838">
        <w:rPr>
          <w:rFonts w:ascii="Arial" w:hAnsi="Arial" w:cs="Arial"/>
          <w:sz w:val="20"/>
          <w:szCs w:val="20"/>
        </w:rPr>
        <w:t xml:space="preserve"> </w:t>
      </w:r>
      <w:r w:rsidR="008B43AD">
        <w:rPr>
          <w:rFonts w:ascii="Arial" w:hAnsi="Arial" w:cs="Arial"/>
          <w:sz w:val="20"/>
          <w:szCs w:val="20"/>
        </w:rPr>
        <w:t>–</w:t>
      </w:r>
      <w:r w:rsidR="00DD2838">
        <w:rPr>
          <w:rFonts w:ascii="Arial" w:hAnsi="Arial" w:cs="Arial"/>
          <w:sz w:val="20"/>
          <w:szCs w:val="20"/>
        </w:rPr>
        <w:t xml:space="preserve"> </w:t>
      </w:r>
      <w:r w:rsidR="008B43AD">
        <w:rPr>
          <w:rFonts w:ascii="Arial" w:hAnsi="Arial" w:cs="Arial"/>
          <w:sz w:val="20"/>
          <w:szCs w:val="20"/>
        </w:rPr>
        <w:t>Given the classes of business and the exposure basis used in pri</w:t>
      </w:r>
      <w:r w:rsidR="007B1030">
        <w:rPr>
          <w:rFonts w:ascii="Arial" w:hAnsi="Arial" w:cs="Arial"/>
          <w:sz w:val="20"/>
          <w:szCs w:val="20"/>
        </w:rPr>
        <w:t>cing these risks, GuideOne believes</w:t>
      </w:r>
      <w:r w:rsidR="008B43AD">
        <w:rPr>
          <w:rFonts w:ascii="Arial" w:hAnsi="Arial" w:cs="Arial"/>
          <w:sz w:val="20"/>
          <w:szCs w:val="20"/>
        </w:rPr>
        <w:t xml:space="preserve"> our currently charged premium accurately reflects the risk.  The exposure basis on the vast majority of ou</w:t>
      </w:r>
      <w:r w:rsidR="00B478B8">
        <w:rPr>
          <w:rFonts w:ascii="Arial" w:hAnsi="Arial" w:cs="Arial"/>
          <w:sz w:val="20"/>
          <w:szCs w:val="20"/>
        </w:rPr>
        <w:t>r business is not variable in nature</w:t>
      </w:r>
      <w:r w:rsidR="008B43AD">
        <w:rPr>
          <w:rFonts w:ascii="Arial" w:hAnsi="Arial" w:cs="Arial"/>
          <w:sz w:val="20"/>
          <w:szCs w:val="20"/>
        </w:rPr>
        <w:t xml:space="preserve"> (payroll, receipts, sales, etc.) but rather </w:t>
      </w:r>
      <w:r w:rsidR="00B478B8">
        <w:rPr>
          <w:rFonts w:ascii="Arial" w:hAnsi="Arial" w:cs="Arial"/>
          <w:sz w:val="20"/>
          <w:szCs w:val="20"/>
        </w:rPr>
        <w:t xml:space="preserve">is </w:t>
      </w:r>
      <w:r w:rsidR="008B43AD">
        <w:rPr>
          <w:rFonts w:ascii="Arial" w:hAnsi="Arial" w:cs="Arial"/>
          <w:sz w:val="20"/>
          <w:szCs w:val="20"/>
        </w:rPr>
        <w:t>square footage.  This exposure basis is not impacted as it relates to COVID-19.</w:t>
      </w:r>
    </w:p>
    <w:p w:rsidR="00A946C4" w:rsidRPr="00A946C4" w:rsidRDefault="00A946C4" w:rsidP="002B2193">
      <w:pPr>
        <w:rPr>
          <w:rFonts w:ascii="Arial" w:hAnsi="Arial" w:cs="Arial"/>
          <w:sz w:val="20"/>
          <w:szCs w:val="20"/>
        </w:rPr>
      </w:pPr>
      <w:r w:rsidRPr="00A946C4">
        <w:rPr>
          <w:rFonts w:ascii="Arial" w:hAnsi="Arial" w:cs="Arial"/>
          <w:sz w:val="20"/>
          <w:szCs w:val="20"/>
        </w:rPr>
        <w:t xml:space="preserve">We do currently offer three programs which either utilize a different exposure basis or premium audit. However, both of these are considered essential business and retained operations. Our Auto Dealers program utilizes number of employees. However, we have a very limited number of policies and the insured can endorse mid-term to reflect the correct exposure. </w:t>
      </w:r>
    </w:p>
    <w:p w:rsidR="00EC0633" w:rsidRDefault="00EC0633" w:rsidP="002B2193">
      <w:pPr>
        <w:rPr>
          <w:rFonts w:ascii="Arial" w:hAnsi="Arial" w:cs="Arial"/>
          <w:sz w:val="20"/>
          <w:szCs w:val="20"/>
        </w:rPr>
      </w:pPr>
      <w:r>
        <w:rPr>
          <w:rFonts w:ascii="Arial" w:hAnsi="Arial" w:cs="Arial"/>
          <w:sz w:val="20"/>
          <w:szCs w:val="20"/>
        </w:rPr>
        <w:t>GuideOne’s Oil and Gas program is currently premium audited to reconcile our GL exposure.  As noted above, GuideOne has instituted a 60 countrywide grace period for premium payments in which we will not assess late fees or cancel for non-payment.  Given the recent guidance following a meeting between APCIA staff and Deputy Commissioner Ken Allen, we will address any premium reduction through the annual audit process as we have already provided premium accommodations through the application of a grace period.</w:t>
      </w:r>
    </w:p>
    <w:p w:rsidR="00A946C4" w:rsidRPr="00A946C4" w:rsidRDefault="00A946C4" w:rsidP="002B2193">
      <w:pPr>
        <w:rPr>
          <w:rFonts w:ascii="Arial" w:hAnsi="Arial" w:cs="Arial"/>
          <w:sz w:val="20"/>
          <w:szCs w:val="20"/>
        </w:rPr>
      </w:pPr>
      <w:r w:rsidRPr="00A946C4">
        <w:rPr>
          <w:rFonts w:ascii="Arial" w:hAnsi="Arial" w:cs="Arial"/>
          <w:sz w:val="20"/>
          <w:szCs w:val="20"/>
        </w:rPr>
        <w:t xml:space="preserve">GuideOne’s Environmental program is an “essential” business through COVID-19. The focus of this program is clean up service providers, i.e. ServiceMaster, </w:t>
      </w:r>
      <w:proofErr w:type="spellStart"/>
      <w:r w:rsidRPr="00A946C4">
        <w:rPr>
          <w:rFonts w:ascii="Arial" w:hAnsi="Arial" w:cs="Arial"/>
          <w:sz w:val="20"/>
          <w:szCs w:val="20"/>
        </w:rPr>
        <w:t>ServPro</w:t>
      </w:r>
      <w:proofErr w:type="spellEnd"/>
      <w:r w:rsidRPr="00A946C4">
        <w:rPr>
          <w:rFonts w:ascii="Arial" w:hAnsi="Arial" w:cs="Arial"/>
          <w:sz w:val="20"/>
          <w:szCs w:val="20"/>
        </w:rPr>
        <w:t>, etc. These business have seen an increase in activity and exposure through COVID-19 as they provide their services.</w:t>
      </w:r>
    </w:p>
    <w:p w:rsidR="00F41C1E" w:rsidRDefault="003F4F29" w:rsidP="003F4F29">
      <w:pPr>
        <w:rPr>
          <w:rFonts w:ascii="Arial" w:hAnsi="Arial" w:cs="Arial"/>
          <w:sz w:val="20"/>
          <w:szCs w:val="20"/>
        </w:rPr>
      </w:pPr>
      <w:r>
        <w:rPr>
          <w:rFonts w:ascii="Arial" w:hAnsi="Arial" w:cs="Arial"/>
          <w:sz w:val="20"/>
          <w:szCs w:val="20"/>
        </w:rPr>
        <w:t xml:space="preserve">In addition to the above, GuideOne </w:t>
      </w:r>
      <w:r w:rsidR="00A946C4">
        <w:rPr>
          <w:rFonts w:ascii="Arial" w:hAnsi="Arial" w:cs="Arial"/>
          <w:sz w:val="20"/>
          <w:szCs w:val="20"/>
        </w:rPr>
        <w:t>i</w:t>
      </w:r>
      <w:r w:rsidR="00F41C1E">
        <w:rPr>
          <w:rFonts w:ascii="Arial" w:hAnsi="Arial" w:cs="Arial"/>
          <w:sz w:val="20"/>
          <w:szCs w:val="20"/>
        </w:rPr>
        <w:t xml:space="preserve">s a predominantly niche writer.  As a result, our product offering is tailored to our respective niches.  We currently offer many Add On coverages as an endorsement to our General Liability coverage form.  These Add On coverages include Professional Liability, Employment Practices Liability and </w:t>
      </w:r>
      <w:proofErr w:type="gramStart"/>
      <w:r w:rsidR="00F41C1E">
        <w:rPr>
          <w:rFonts w:ascii="Arial" w:hAnsi="Arial" w:cs="Arial"/>
          <w:sz w:val="20"/>
          <w:szCs w:val="20"/>
        </w:rPr>
        <w:t>Directors &amp;</w:t>
      </w:r>
      <w:proofErr w:type="gramEnd"/>
      <w:r w:rsidR="00F41C1E">
        <w:rPr>
          <w:rFonts w:ascii="Arial" w:hAnsi="Arial" w:cs="Arial"/>
          <w:sz w:val="20"/>
          <w:szCs w:val="20"/>
        </w:rPr>
        <w:t xml:space="preserve"> Officers.  These coverages are likely to see an increased exposure due to COVID-19 as claims materialize.  </w:t>
      </w:r>
    </w:p>
    <w:p w:rsidR="00F41C1E" w:rsidRDefault="004A7B31" w:rsidP="003F4F29">
      <w:pPr>
        <w:rPr>
          <w:rFonts w:ascii="Arial" w:hAnsi="Arial" w:cs="Arial"/>
          <w:sz w:val="20"/>
          <w:szCs w:val="20"/>
        </w:rPr>
      </w:pPr>
      <w:r>
        <w:rPr>
          <w:rFonts w:ascii="Arial" w:hAnsi="Arial" w:cs="Arial"/>
          <w:sz w:val="20"/>
          <w:szCs w:val="20"/>
        </w:rPr>
        <w:t>Finally, as large writer of religious organizations, we believe we will see an increased in exposure for the coming months as Churches begin to open their doors to services.  This is evidenced by the recent e</w:t>
      </w:r>
      <w:r w:rsidR="00A946C4">
        <w:rPr>
          <w:rFonts w:ascii="Arial" w:hAnsi="Arial" w:cs="Arial"/>
          <w:sz w:val="20"/>
          <w:szCs w:val="20"/>
        </w:rPr>
        <w:t xml:space="preserve">vent of at least 2 California </w:t>
      </w:r>
      <w:r>
        <w:rPr>
          <w:rFonts w:ascii="Arial" w:hAnsi="Arial" w:cs="Arial"/>
          <w:sz w:val="20"/>
          <w:szCs w:val="20"/>
        </w:rPr>
        <w:t>church services being identified as the sources of outbreaks.  These large gatherings will bring greater exposure that is not contemplated in our current rating plan.</w:t>
      </w:r>
      <w:r w:rsidR="00A946C4">
        <w:rPr>
          <w:rFonts w:ascii="Arial" w:hAnsi="Arial" w:cs="Arial"/>
          <w:sz w:val="20"/>
          <w:szCs w:val="20"/>
        </w:rPr>
        <w:t xml:space="preserve">  Given that we write policies on an annual basis and we price accordingly, we expect to increased exposure both prior to the stay at home order and after the re-opening occurs.</w:t>
      </w:r>
    </w:p>
    <w:p w:rsidR="003F4F29" w:rsidRDefault="00F41C1E" w:rsidP="003F4F29">
      <w:pPr>
        <w:rPr>
          <w:rFonts w:ascii="Arial" w:hAnsi="Arial" w:cs="Arial"/>
          <w:sz w:val="20"/>
          <w:szCs w:val="20"/>
        </w:rPr>
      </w:pPr>
      <w:r>
        <w:rPr>
          <w:rFonts w:ascii="Arial" w:hAnsi="Arial" w:cs="Arial"/>
          <w:sz w:val="20"/>
          <w:szCs w:val="20"/>
        </w:rPr>
        <w:lastRenderedPageBreak/>
        <w:t xml:space="preserve">As a result, we believe in totality our Commercial Liability </w:t>
      </w:r>
      <w:r w:rsidR="004A7B31">
        <w:rPr>
          <w:rFonts w:ascii="Arial" w:hAnsi="Arial" w:cs="Arial"/>
          <w:sz w:val="20"/>
          <w:szCs w:val="20"/>
        </w:rPr>
        <w:t>is the same or greater than pre COVID-19 and do not believe a premium adjustment is warranted.</w:t>
      </w:r>
    </w:p>
    <w:p w:rsidR="003378FD" w:rsidRDefault="003378FD" w:rsidP="003F4F29">
      <w:pPr>
        <w:rPr>
          <w:rFonts w:ascii="Arial" w:hAnsi="Arial" w:cs="Arial"/>
          <w:sz w:val="20"/>
          <w:szCs w:val="20"/>
        </w:rPr>
      </w:pPr>
      <w:r>
        <w:rPr>
          <w:rFonts w:ascii="Arial" w:hAnsi="Arial" w:cs="Arial"/>
          <w:sz w:val="20"/>
          <w:szCs w:val="20"/>
        </w:rPr>
        <w:t>Given the above information and our continued efforts to work with our insureds through this very difficult time, please accept this as full compliance with Bulletin 2020-3 and acknowledgement that no further premium adjustments are necessary at this time.</w:t>
      </w:r>
    </w:p>
    <w:p w:rsidR="009D71FF" w:rsidRDefault="009D71FF" w:rsidP="002B2193">
      <w:pPr>
        <w:rPr>
          <w:rFonts w:ascii="Arial" w:hAnsi="Arial" w:cs="Arial"/>
          <w:sz w:val="20"/>
          <w:szCs w:val="20"/>
        </w:rPr>
      </w:pPr>
    </w:p>
    <w:p w:rsidR="0045628F" w:rsidRPr="00B43129" w:rsidRDefault="002B2193" w:rsidP="002B2193">
      <w:pPr>
        <w:rPr>
          <w:rFonts w:ascii="Arial" w:hAnsi="Arial" w:cs="Arial"/>
          <w:sz w:val="20"/>
          <w:szCs w:val="20"/>
        </w:rPr>
      </w:pPr>
      <w:r w:rsidRPr="00B43129">
        <w:rPr>
          <w:rFonts w:ascii="Arial" w:hAnsi="Arial" w:cs="Arial"/>
          <w:sz w:val="20"/>
          <w:szCs w:val="20"/>
        </w:rPr>
        <w:t>Sincerely,</w:t>
      </w:r>
    </w:p>
    <w:p w:rsidR="00A8427E" w:rsidRPr="00B43129" w:rsidRDefault="00E24FD5" w:rsidP="002B2193">
      <w:pPr>
        <w:rPr>
          <w:rFonts w:ascii="Arial" w:hAnsi="Arial" w:cs="Arial"/>
          <w:sz w:val="20"/>
          <w:szCs w:val="20"/>
        </w:rPr>
      </w:pPr>
      <w:r>
        <w:rPr>
          <w:rFonts w:ascii="Arial" w:hAnsi="Arial" w:cs="Arial"/>
          <w:noProof/>
          <w:sz w:val="20"/>
          <w:szCs w:val="20"/>
        </w:rPr>
        <w:drawing>
          <wp:inline distT="0" distB="0" distL="0" distR="0">
            <wp:extent cx="2560554" cy="1021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065" cy="1025670"/>
                    </a:xfrm>
                    <a:prstGeom prst="rect">
                      <a:avLst/>
                    </a:prstGeom>
                    <a:noFill/>
                    <a:ln>
                      <a:noFill/>
                    </a:ln>
                  </pic:spPr>
                </pic:pic>
              </a:graphicData>
            </a:graphic>
          </wp:inline>
        </w:drawing>
      </w:r>
    </w:p>
    <w:p w:rsidR="004F5A28" w:rsidRPr="00B43129" w:rsidRDefault="004F5A28" w:rsidP="004F5A28">
      <w:pPr>
        <w:spacing w:after="0" w:line="240" w:lineRule="auto"/>
        <w:rPr>
          <w:rFonts w:ascii="Arial" w:hAnsi="Arial" w:cs="Arial"/>
          <w:sz w:val="20"/>
          <w:szCs w:val="20"/>
        </w:rPr>
      </w:pPr>
      <w:r w:rsidRPr="00B43129">
        <w:rPr>
          <w:rFonts w:ascii="Arial" w:hAnsi="Arial" w:cs="Arial"/>
          <w:sz w:val="20"/>
          <w:szCs w:val="20"/>
        </w:rPr>
        <w:t>Jordan Fuehrer J.D., CPCU</w:t>
      </w:r>
    </w:p>
    <w:p w:rsidR="004F5A28" w:rsidRPr="00B43129" w:rsidRDefault="004F5A28" w:rsidP="004F5A28">
      <w:pPr>
        <w:spacing w:after="0" w:line="240" w:lineRule="auto"/>
        <w:rPr>
          <w:rFonts w:ascii="Arial" w:hAnsi="Arial" w:cs="Arial"/>
          <w:sz w:val="20"/>
          <w:szCs w:val="20"/>
        </w:rPr>
      </w:pPr>
      <w:r w:rsidRPr="00B43129">
        <w:rPr>
          <w:rFonts w:ascii="Arial" w:hAnsi="Arial" w:cs="Arial"/>
          <w:sz w:val="20"/>
          <w:szCs w:val="20"/>
        </w:rPr>
        <w:t>Underwriting Compliance Director</w:t>
      </w:r>
    </w:p>
    <w:p w:rsidR="002B2193" w:rsidRPr="00B43129" w:rsidRDefault="004F5A28" w:rsidP="004F5A28">
      <w:pPr>
        <w:spacing w:after="0" w:line="240" w:lineRule="auto"/>
        <w:rPr>
          <w:rFonts w:ascii="Arial" w:hAnsi="Arial" w:cs="Arial"/>
          <w:sz w:val="20"/>
          <w:szCs w:val="20"/>
        </w:rPr>
      </w:pPr>
      <w:r w:rsidRPr="00B43129">
        <w:rPr>
          <w:rFonts w:ascii="Arial" w:hAnsi="Arial" w:cs="Arial"/>
          <w:sz w:val="20"/>
          <w:szCs w:val="20"/>
        </w:rPr>
        <w:t>Telephone: (877) 448-4331 Ext. 5838</w:t>
      </w:r>
    </w:p>
    <w:p w:rsidR="005A64D9" w:rsidRDefault="004F5A28" w:rsidP="004F5A28">
      <w:pPr>
        <w:spacing w:after="0" w:line="240" w:lineRule="auto"/>
        <w:rPr>
          <w:rStyle w:val="Hyperlink"/>
          <w:rFonts w:ascii="Arial" w:hAnsi="Arial" w:cs="Arial"/>
          <w:sz w:val="20"/>
          <w:szCs w:val="20"/>
        </w:rPr>
      </w:pPr>
      <w:r w:rsidRPr="00B43129">
        <w:rPr>
          <w:rFonts w:ascii="Arial" w:hAnsi="Arial" w:cs="Arial"/>
          <w:sz w:val="20"/>
          <w:szCs w:val="20"/>
        </w:rPr>
        <w:t xml:space="preserve">Email: </w:t>
      </w:r>
      <w:hyperlink r:id="rId9" w:history="1">
        <w:r w:rsidRPr="00B43129">
          <w:rPr>
            <w:rStyle w:val="Hyperlink"/>
            <w:rFonts w:ascii="Arial" w:hAnsi="Arial" w:cs="Arial"/>
            <w:sz w:val="20"/>
            <w:szCs w:val="20"/>
          </w:rPr>
          <w:t>JFuehrer@Guideone.com</w:t>
        </w:r>
      </w:hyperlink>
    </w:p>
    <w:p w:rsidR="001826A2" w:rsidRDefault="001826A2" w:rsidP="004F5A28">
      <w:pPr>
        <w:spacing w:after="0" w:line="240" w:lineRule="auto"/>
        <w:rPr>
          <w:rStyle w:val="Hyperlink"/>
          <w:rFonts w:ascii="Arial" w:hAnsi="Arial" w:cs="Arial"/>
          <w:sz w:val="20"/>
          <w:szCs w:val="20"/>
        </w:rPr>
      </w:pPr>
    </w:p>
    <w:p w:rsidR="00311A7E" w:rsidRDefault="00311A7E" w:rsidP="005A64D9">
      <w:pPr>
        <w:spacing w:after="0" w:line="240" w:lineRule="auto"/>
        <w:jc w:val="center"/>
        <w:rPr>
          <w:rFonts w:ascii="Arial" w:hAnsi="Arial" w:cs="Arial"/>
          <w:sz w:val="20"/>
          <w:szCs w:val="20"/>
          <w:u w:val="single"/>
        </w:rPr>
      </w:pPr>
    </w:p>
    <w:p w:rsidR="00311A7E" w:rsidRDefault="00311A7E" w:rsidP="005A64D9">
      <w:pPr>
        <w:spacing w:after="0" w:line="240" w:lineRule="auto"/>
        <w:jc w:val="center"/>
        <w:rPr>
          <w:rFonts w:ascii="Arial" w:hAnsi="Arial" w:cs="Arial"/>
          <w:sz w:val="20"/>
          <w:szCs w:val="20"/>
          <w:u w:val="single"/>
        </w:rPr>
      </w:pPr>
    </w:p>
    <w:p w:rsidR="00311A7E" w:rsidRDefault="00311A7E" w:rsidP="005A64D9">
      <w:pPr>
        <w:spacing w:after="0" w:line="240" w:lineRule="auto"/>
        <w:jc w:val="center"/>
        <w:rPr>
          <w:rFonts w:ascii="Arial" w:hAnsi="Arial" w:cs="Arial"/>
          <w:sz w:val="20"/>
          <w:szCs w:val="20"/>
          <w:u w:val="single"/>
        </w:rPr>
      </w:pPr>
    </w:p>
    <w:p w:rsidR="005A64D9" w:rsidRPr="00E24FD5" w:rsidRDefault="005A64D9" w:rsidP="005A64D9">
      <w:pPr>
        <w:spacing w:after="0" w:line="240" w:lineRule="auto"/>
        <w:jc w:val="center"/>
        <w:rPr>
          <w:rFonts w:ascii="Arial" w:hAnsi="Arial" w:cs="Arial"/>
          <w:b/>
          <w:sz w:val="20"/>
          <w:szCs w:val="20"/>
          <w:u w:val="single"/>
        </w:rPr>
      </w:pPr>
      <w:r w:rsidRPr="00E24FD5">
        <w:rPr>
          <w:rFonts w:ascii="Arial" w:hAnsi="Arial" w:cs="Arial"/>
          <w:b/>
          <w:sz w:val="20"/>
          <w:szCs w:val="20"/>
          <w:u w:val="single"/>
        </w:rPr>
        <w:t>Appendix</w:t>
      </w:r>
    </w:p>
    <w:p w:rsidR="00311A7E" w:rsidRDefault="00311A7E" w:rsidP="005A64D9">
      <w:pPr>
        <w:spacing w:after="0" w:line="240" w:lineRule="auto"/>
        <w:jc w:val="center"/>
        <w:rPr>
          <w:rFonts w:ascii="Arial" w:hAnsi="Arial" w:cs="Arial"/>
          <w:sz w:val="20"/>
          <w:szCs w:val="20"/>
          <w:u w:val="single"/>
        </w:rPr>
      </w:pPr>
    </w:p>
    <w:p w:rsidR="005A64D9" w:rsidRDefault="005A64D9" w:rsidP="005A64D9">
      <w:pPr>
        <w:spacing w:after="0" w:line="240" w:lineRule="auto"/>
        <w:jc w:val="center"/>
        <w:rPr>
          <w:rFonts w:ascii="Arial" w:hAnsi="Arial" w:cs="Arial"/>
          <w:sz w:val="20"/>
          <w:szCs w:val="20"/>
          <w:u w:val="single"/>
        </w:rPr>
      </w:pPr>
    </w:p>
    <w:p w:rsidR="00311A7E" w:rsidRPr="00E24FD5" w:rsidRDefault="00311A7E" w:rsidP="00311A7E">
      <w:pPr>
        <w:spacing w:after="0" w:line="240" w:lineRule="auto"/>
        <w:rPr>
          <w:rFonts w:ascii="Arial" w:hAnsi="Arial" w:cs="Arial"/>
          <w:b/>
          <w:sz w:val="20"/>
          <w:szCs w:val="20"/>
        </w:rPr>
      </w:pPr>
      <w:r w:rsidRPr="00E24FD5">
        <w:rPr>
          <w:rFonts w:ascii="Arial" w:hAnsi="Arial" w:cs="Arial"/>
          <w:b/>
          <w:sz w:val="20"/>
          <w:szCs w:val="20"/>
        </w:rPr>
        <w:t>Premium Breakdown by Line of Business and Niche</w:t>
      </w:r>
    </w:p>
    <w:p w:rsidR="007A1B6F" w:rsidRDefault="007A1B6F" w:rsidP="00311A7E">
      <w:pPr>
        <w:spacing w:after="0" w:line="240" w:lineRule="auto"/>
        <w:rPr>
          <w:rFonts w:ascii="Arial" w:hAnsi="Arial" w:cs="Arial"/>
          <w:sz w:val="20"/>
          <w:szCs w:val="20"/>
          <w:u w:val="single"/>
        </w:rPr>
      </w:pPr>
    </w:p>
    <w:p w:rsidR="007E15A2" w:rsidRDefault="007E15A2" w:rsidP="00311A7E">
      <w:pPr>
        <w:spacing w:after="0" w:line="240" w:lineRule="auto"/>
        <w:rPr>
          <w:rFonts w:ascii="Arial" w:hAnsi="Arial" w:cs="Arial"/>
          <w:sz w:val="20"/>
          <w:szCs w:val="20"/>
          <w:u w:val="single"/>
        </w:rPr>
      </w:pPr>
    </w:p>
    <w:p w:rsidR="007A1B6F" w:rsidRDefault="007A1B6F" w:rsidP="00311A7E">
      <w:pPr>
        <w:spacing w:after="0" w:line="240" w:lineRule="auto"/>
        <w:rPr>
          <w:rFonts w:ascii="Arial" w:hAnsi="Arial" w:cs="Arial"/>
          <w:sz w:val="20"/>
          <w:szCs w:val="20"/>
          <w:u w:val="single"/>
        </w:rPr>
      </w:pPr>
      <w:r>
        <w:rPr>
          <w:rFonts w:ascii="Arial" w:hAnsi="Arial" w:cs="Arial"/>
          <w:sz w:val="20"/>
          <w:szCs w:val="20"/>
          <w:u w:val="single"/>
        </w:rPr>
        <w:t>Admitted Core Business</w:t>
      </w:r>
    </w:p>
    <w:p w:rsidR="007E15A2" w:rsidRDefault="007E15A2" w:rsidP="00311A7E">
      <w:pPr>
        <w:spacing w:after="0" w:line="240" w:lineRule="auto"/>
        <w:rPr>
          <w:rFonts w:ascii="Arial" w:hAnsi="Arial" w:cs="Arial"/>
          <w:sz w:val="20"/>
          <w:szCs w:val="20"/>
          <w:u w:val="single"/>
        </w:rPr>
      </w:pPr>
    </w:p>
    <w:p w:rsidR="007E15A2" w:rsidRDefault="007E15A2" w:rsidP="00311A7E">
      <w:pPr>
        <w:spacing w:after="0" w:line="240" w:lineRule="auto"/>
        <w:rPr>
          <w:rFonts w:ascii="Arial" w:hAnsi="Arial" w:cs="Arial"/>
          <w:sz w:val="20"/>
          <w:szCs w:val="20"/>
          <w:u w:val="single"/>
        </w:rPr>
      </w:pPr>
    </w:p>
    <w:p w:rsidR="00311A7E" w:rsidRDefault="00311A7E" w:rsidP="00311A7E">
      <w:pPr>
        <w:tabs>
          <w:tab w:val="left" w:pos="6840"/>
        </w:tabs>
        <w:spacing w:after="0" w:line="240" w:lineRule="auto"/>
        <w:rPr>
          <w:rFonts w:ascii="Arial" w:hAnsi="Arial" w:cs="Arial"/>
          <w:sz w:val="20"/>
          <w:szCs w:val="20"/>
          <w:u w:val="single"/>
        </w:rPr>
      </w:pPr>
    </w:p>
    <w:tbl>
      <w:tblPr>
        <w:tblW w:w="9156" w:type="dxa"/>
        <w:tblInd w:w="113" w:type="dxa"/>
        <w:tblLook w:val="04A0" w:firstRow="1" w:lastRow="0" w:firstColumn="1" w:lastColumn="0" w:noHBand="0" w:noVBand="1"/>
      </w:tblPr>
      <w:tblGrid>
        <w:gridCol w:w="1247"/>
        <w:gridCol w:w="2055"/>
        <w:gridCol w:w="3029"/>
        <w:gridCol w:w="238"/>
        <w:gridCol w:w="2587"/>
      </w:tblGrid>
      <w:tr w:rsidR="00311A7E" w:rsidRPr="00311A7E" w:rsidTr="00743315">
        <w:trPr>
          <w:trHeight w:val="251"/>
        </w:trPr>
        <w:tc>
          <w:tcPr>
            <w:tcW w:w="1247" w:type="dxa"/>
            <w:tcBorders>
              <w:top w:val="single" w:sz="4" w:space="0" w:color="999999"/>
              <w:left w:val="single" w:sz="4" w:space="0" w:color="999999"/>
              <w:bottom w:val="nil"/>
              <w:right w:val="nil"/>
            </w:tcBorders>
            <w:shd w:val="clear" w:color="auto" w:fill="DBE5F1" w:themeFill="accent1" w:themeFillTint="33"/>
            <w:noWrap/>
            <w:vAlign w:val="bottom"/>
            <w:hideMark/>
          </w:tcPr>
          <w:p w:rsidR="00311A7E" w:rsidRPr="00B00EAA" w:rsidRDefault="00B44957" w:rsidP="00311A7E">
            <w:pPr>
              <w:spacing w:after="0" w:line="240" w:lineRule="auto"/>
              <w:rPr>
                <w:rFonts w:ascii="Arial" w:eastAsia="Times New Roman" w:hAnsi="Arial" w:cs="Arial"/>
                <w:b/>
                <w:sz w:val="20"/>
                <w:szCs w:val="20"/>
              </w:rPr>
            </w:pPr>
            <w:r w:rsidRPr="00B00EAA">
              <w:rPr>
                <w:rFonts w:ascii="Arial" w:eastAsia="Times New Roman" w:hAnsi="Arial" w:cs="Arial"/>
                <w:b/>
                <w:sz w:val="20"/>
                <w:szCs w:val="20"/>
              </w:rPr>
              <w:t>LOB</w:t>
            </w:r>
          </w:p>
        </w:tc>
        <w:tc>
          <w:tcPr>
            <w:tcW w:w="2055" w:type="dxa"/>
            <w:tcBorders>
              <w:top w:val="single" w:sz="4" w:space="0" w:color="999999"/>
              <w:left w:val="single" w:sz="4" w:space="0" w:color="999999"/>
              <w:bottom w:val="nil"/>
              <w:right w:val="nil"/>
            </w:tcBorders>
            <w:shd w:val="clear" w:color="auto" w:fill="DBE5F1" w:themeFill="accent1" w:themeFillTint="33"/>
            <w:noWrap/>
            <w:vAlign w:val="bottom"/>
            <w:hideMark/>
          </w:tcPr>
          <w:p w:rsidR="00311A7E" w:rsidRPr="00B00EAA" w:rsidRDefault="00311A7E" w:rsidP="00311A7E">
            <w:pPr>
              <w:spacing w:after="0" w:line="240" w:lineRule="auto"/>
              <w:rPr>
                <w:rFonts w:ascii="Arial" w:eastAsia="Times New Roman" w:hAnsi="Arial" w:cs="Arial"/>
                <w:b/>
                <w:sz w:val="20"/>
                <w:szCs w:val="20"/>
              </w:rPr>
            </w:pPr>
            <w:r w:rsidRPr="00B00EAA">
              <w:rPr>
                <w:rFonts w:ascii="Arial" w:eastAsia="Times New Roman" w:hAnsi="Arial" w:cs="Arial"/>
                <w:b/>
                <w:sz w:val="20"/>
                <w:szCs w:val="20"/>
              </w:rPr>
              <w:t>Niche</w:t>
            </w:r>
          </w:p>
        </w:tc>
        <w:tc>
          <w:tcPr>
            <w:tcW w:w="3029" w:type="dxa"/>
            <w:tcBorders>
              <w:top w:val="single" w:sz="4" w:space="0" w:color="999999"/>
              <w:left w:val="single" w:sz="4" w:space="0" w:color="999999"/>
              <w:bottom w:val="nil"/>
              <w:right w:val="nil"/>
            </w:tcBorders>
            <w:shd w:val="clear" w:color="auto" w:fill="DBE5F1" w:themeFill="accent1" w:themeFillTint="33"/>
            <w:noWrap/>
            <w:vAlign w:val="bottom"/>
            <w:hideMark/>
          </w:tcPr>
          <w:p w:rsidR="00311A7E" w:rsidRPr="00B00EAA" w:rsidRDefault="00B00EAA" w:rsidP="00311A7E">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Sum of Total </w:t>
            </w:r>
            <w:r w:rsidR="00311A7E" w:rsidRPr="00B00EAA">
              <w:rPr>
                <w:rFonts w:ascii="Arial" w:eastAsia="Times New Roman" w:hAnsi="Arial" w:cs="Arial"/>
                <w:b/>
                <w:sz w:val="20"/>
                <w:szCs w:val="20"/>
              </w:rPr>
              <w:t>Premium</w:t>
            </w:r>
          </w:p>
        </w:tc>
        <w:tc>
          <w:tcPr>
            <w:tcW w:w="238" w:type="dxa"/>
            <w:tcBorders>
              <w:top w:val="single" w:sz="4" w:space="0" w:color="999999"/>
              <w:left w:val="nil"/>
              <w:bottom w:val="nil"/>
              <w:right w:val="nil"/>
            </w:tcBorders>
            <w:shd w:val="clear" w:color="auto" w:fill="DBE5F1" w:themeFill="accent1" w:themeFillTint="33"/>
          </w:tcPr>
          <w:p w:rsidR="00311A7E" w:rsidRPr="00B00EAA" w:rsidRDefault="00311A7E" w:rsidP="00311A7E">
            <w:pPr>
              <w:spacing w:after="0" w:line="240" w:lineRule="auto"/>
              <w:rPr>
                <w:rFonts w:ascii="Arial" w:eastAsia="Times New Roman" w:hAnsi="Arial" w:cs="Arial"/>
                <w:b/>
                <w:sz w:val="20"/>
                <w:szCs w:val="20"/>
              </w:rPr>
            </w:pPr>
          </w:p>
        </w:tc>
        <w:tc>
          <w:tcPr>
            <w:tcW w:w="2587" w:type="dxa"/>
            <w:tcBorders>
              <w:top w:val="single" w:sz="4" w:space="0" w:color="999999"/>
              <w:left w:val="nil"/>
              <w:bottom w:val="nil"/>
              <w:right w:val="single" w:sz="4" w:space="0" w:color="999999"/>
            </w:tcBorders>
            <w:shd w:val="clear" w:color="auto" w:fill="DBE5F1" w:themeFill="accent1" w:themeFillTint="33"/>
            <w:noWrap/>
            <w:vAlign w:val="bottom"/>
            <w:hideMark/>
          </w:tcPr>
          <w:p w:rsidR="00311A7E" w:rsidRPr="00B00EAA" w:rsidRDefault="00311A7E" w:rsidP="00311A7E">
            <w:pPr>
              <w:spacing w:after="0" w:line="240" w:lineRule="auto"/>
              <w:rPr>
                <w:rFonts w:ascii="Arial" w:eastAsia="Times New Roman" w:hAnsi="Arial" w:cs="Arial"/>
                <w:b/>
                <w:sz w:val="20"/>
                <w:szCs w:val="20"/>
              </w:rPr>
            </w:pPr>
            <w:r w:rsidRPr="00B00EAA">
              <w:rPr>
                <w:rFonts w:ascii="Arial" w:eastAsia="Times New Roman" w:hAnsi="Arial" w:cs="Arial"/>
                <w:b/>
                <w:sz w:val="20"/>
                <w:szCs w:val="20"/>
              </w:rPr>
              <w:t xml:space="preserve">                Count of Policy</w:t>
            </w:r>
          </w:p>
        </w:tc>
      </w:tr>
      <w:tr w:rsidR="00311A7E" w:rsidRPr="00311A7E" w:rsidTr="007A1B6F">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BAP</w:t>
            </w:r>
          </w:p>
        </w:tc>
        <w:tc>
          <w:tcPr>
            <w:tcW w:w="2055"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993</w:t>
            </w:r>
            <w:r w:rsidR="007A1B6F">
              <w:rPr>
                <w:rFonts w:ascii="Arial" w:eastAsia="Times New Roman" w:hAnsi="Arial" w:cs="Arial"/>
                <w:sz w:val="20"/>
                <w:szCs w:val="20"/>
              </w:rPr>
              <w:t>,</w:t>
            </w:r>
            <w:r>
              <w:rPr>
                <w:rFonts w:ascii="Arial" w:eastAsia="Times New Roman" w:hAnsi="Arial" w:cs="Arial"/>
                <w:sz w:val="20"/>
                <w:szCs w:val="20"/>
              </w:rPr>
              <w:t>844</w:t>
            </w:r>
          </w:p>
        </w:tc>
        <w:tc>
          <w:tcPr>
            <w:tcW w:w="238" w:type="dxa"/>
            <w:tcBorders>
              <w:top w:val="single" w:sz="4" w:space="0" w:color="999999"/>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610</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170</w:t>
            </w:r>
            <w:r w:rsidR="007A1B6F">
              <w:rPr>
                <w:rFonts w:ascii="Arial" w:eastAsia="Times New Roman" w:hAnsi="Arial" w:cs="Arial"/>
                <w:sz w:val="20"/>
                <w:szCs w:val="20"/>
              </w:rPr>
              <w:t>,</w:t>
            </w:r>
            <w:r w:rsidRPr="00311A7E">
              <w:rPr>
                <w:rFonts w:ascii="Arial" w:eastAsia="Times New Roman" w:hAnsi="Arial" w:cs="Arial"/>
                <w:sz w:val="20"/>
                <w:szCs w:val="20"/>
              </w:rPr>
              <w:t>720</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30</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380</w:t>
            </w:r>
            <w:r w:rsidR="007A1B6F">
              <w:rPr>
                <w:rFonts w:ascii="Arial" w:eastAsia="Times New Roman" w:hAnsi="Arial" w:cs="Arial"/>
                <w:sz w:val="20"/>
                <w:szCs w:val="20"/>
              </w:rPr>
              <w:t>,</w:t>
            </w:r>
            <w:r w:rsidRPr="00311A7E">
              <w:rPr>
                <w:rFonts w:ascii="Arial" w:eastAsia="Times New Roman" w:hAnsi="Arial" w:cs="Arial"/>
                <w:sz w:val="20"/>
                <w:szCs w:val="20"/>
              </w:rPr>
              <w:t>992</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119</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7A1B6F" w:rsidP="00311A7E">
            <w:pPr>
              <w:spacing w:after="0" w:line="240" w:lineRule="auto"/>
              <w:rPr>
                <w:rFonts w:ascii="Arial" w:eastAsia="Times New Roman" w:hAnsi="Arial" w:cs="Arial"/>
                <w:sz w:val="20"/>
                <w:szCs w:val="20"/>
              </w:rPr>
            </w:pPr>
            <w:r>
              <w:rPr>
                <w:rFonts w:ascii="Arial" w:eastAsia="Times New Roman" w:hAnsi="Arial" w:cs="Arial"/>
                <w:sz w:val="20"/>
                <w:szCs w:val="20"/>
              </w:rPr>
              <w:t>Senior Living</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212</w:t>
            </w:r>
            <w:r w:rsidR="007A1B6F">
              <w:rPr>
                <w:rFonts w:ascii="Arial" w:eastAsia="Times New Roman" w:hAnsi="Arial" w:cs="Arial"/>
                <w:sz w:val="20"/>
                <w:szCs w:val="20"/>
              </w:rPr>
              <w:t>,</w:t>
            </w:r>
            <w:r>
              <w:rPr>
                <w:rFonts w:ascii="Arial" w:eastAsia="Times New Roman" w:hAnsi="Arial" w:cs="Arial"/>
                <w:sz w:val="20"/>
                <w:szCs w:val="20"/>
              </w:rPr>
              <w:t>022</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59</w:t>
            </w:r>
          </w:p>
        </w:tc>
      </w:tr>
      <w:tr w:rsidR="00311A7E" w:rsidRPr="00311A7E" w:rsidTr="00743315">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BAP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w:t>
            </w:r>
            <w:r w:rsidR="007A1B6F">
              <w:rPr>
                <w:rFonts w:ascii="Arial" w:eastAsia="Times New Roman" w:hAnsi="Arial" w:cs="Arial"/>
                <w:sz w:val="20"/>
                <w:szCs w:val="20"/>
              </w:rPr>
              <w:t>,</w:t>
            </w:r>
            <w:r w:rsidRPr="00311A7E">
              <w:rPr>
                <w:rFonts w:ascii="Arial" w:eastAsia="Times New Roman" w:hAnsi="Arial" w:cs="Arial"/>
                <w:sz w:val="20"/>
                <w:szCs w:val="20"/>
              </w:rPr>
              <w:t>757</w:t>
            </w:r>
            <w:r w:rsidR="007A1B6F">
              <w:rPr>
                <w:rFonts w:ascii="Arial" w:eastAsia="Times New Roman" w:hAnsi="Arial" w:cs="Arial"/>
                <w:sz w:val="20"/>
                <w:szCs w:val="20"/>
              </w:rPr>
              <w:t>,</w:t>
            </w:r>
            <w:r w:rsidRPr="00311A7E">
              <w:rPr>
                <w:rFonts w:ascii="Arial" w:eastAsia="Times New Roman" w:hAnsi="Arial" w:cs="Arial"/>
                <w:sz w:val="20"/>
                <w:szCs w:val="20"/>
              </w:rPr>
              <w:t>578</w:t>
            </w:r>
          </w:p>
        </w:tc>
        <w:tc>
          <w:tcPr>
            <w:tcW w:w="238" w:type="dxa"/>
            <w:tcBorders>
              <w:top w:val="single" w:sz="4" w:space="0" w:color="999999"/>
              <w:left w:val="nil"/>
              <w:bottom w:val="nil"/>
              <w:right w:val="nil"/>
            </w:tcBorders>
            <w:shd w:val="clear" w:color="auto" w:fill="EAF1DD" w:themeFill="accent3" w:themeFillTint="33"/>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818</w:t>
            </w:r>
          </w:p>
        </w:tc>
      </w:tr>
      <w:tr w:rsidR="00311A7E" w:rsidRPr="00311A7E" w:rsidTr="007A1B6F">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BOP</w:t>
            </w:r>
          </w:p>
        </w:tc>
        <w:tc>
          <w:tcPr>
            <w:tcW w:w="2055"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119</w:t>
            </w:r>
            <w:r w:rsidR="007A1B6F">
              <w:rPr>
                <w:rFonts w:ascii="Arial" w:eastAsia="Times New Roman" w:hAnsi="Arial" w:cs="Arial"/>
                <w:sz w:val="20"/>
                <w:szCs w:val="20"/>
              </w:rPr>
              <w:t>,</w:t>
            </w:r>
            <w:r>
              <w:rPr>
                <w:rFonts w:ascii="Arial" w:eastAsia="Times New Roman" w:hAnsi="Arial" w:cs="Arial"/>
                <w:sz w:val="20"/>
                <w:szCs w:val="20"/>
              </w:rPr>
              <w:t>478</w:t>
            </w:r>
          </w:p>
        </w:tc>
        <w:tc>
          <w:tcPr>
            <w:tcW w:w="238" w:type="dxa"/>
            <w:tcBorders>
              <w:top w:val="single" w:sz="4" w:space="0" w:color="999999"/>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56</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Small Busi</w:t>
            </w:r>
            <w:r w:rsidR="007A1B6F">
              <w:rPr>
                <w:rFonts w:ascii="Arial" w:eastAsia="Times New Roman" w:hAnsi="Arial" w:cs="Arial"/>
                <w:sz w:val="20"/>
                <w:szCs w:val="20"/>
              </w:rPr>
              <w:t>ness</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490</w:t>
            </w:r>
            <w:r w:rsidR="007A1B6F">
              <w:rPr>
                <w:rFonts w:ascii="Arial" w:eastAsia="Times New Roman" w:hAnsi="Arial" w:cs="Arial"/>
                <w:sz w:val="20"/>
                <w:szCs w:val="20"/>
              </w:rPr>
              <w:t>,</w:t>
            </w:r>
            <w:r>
              <w:rPr>
                <w:rFonts w:ascii="Arial" w:eastAsia="Times New Roman" w:hAnsi="Arial" w:cs="Arial"/>
                <w:sz w:val="20"/>
                <w:szCs w:val="20"/>
              </w:rPr>
              <w:t>752</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181</w:t>
            </w:r>
          </w:p>
        </w:tc>
      </w:tr>
      <w:tr w:rsidR="00311A7E" w:rsidRPr="00311A7E" w:rsidTr="00743315">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BOP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610</w:t>
            </w:r>
            <w:r w:rsidR="007A1B6F">
              <w:rPr>
                <w:rFonts w:ascii="Arial" w:eastAsia="Times New Roman" w:hAnsi="Arial" w:cs="Arial"/>
                <w:sz w:val="20"/>
                <w:szCs w:val="20"/>
              </w:rPr>
              <w:t>,</w:t>
            </w:r>
            <w:r w:rsidRPr="00311A7E">
              <w:rPr>
                <w:rFonts w:ascii="Arial" w:eastAsia="Times New Roman" w:hAnsi="Arial" w:cs="Arial"/>
                <w:sz w:val="20"/>
                <w:szCs w:val="20"/>
              </w:rPr>
              <w:t>230</w:t>
            </w:r>
          </w:p>
        </w:tc>
        <w:tc>
          <w:tcPr>
            <w:tcW w:w="238" w:type="dxa"/>
            <w:tcBorders>
              <w:top w:val="single" w:sz="4" w:space="0" w:color="999999"/>
              <w:left w:val="nil"/>
              <w:bottom w:val="nil"/>
              <w:right w:val="nil"/>
            </w:tcBorders>
            <w:shd w:val="clear" w:color="auto" w:fill="EAF1DD" w:themeFill="accent3" w:themeFillTint="33"/>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237</w:t>
            </w:r>
          </w:p>
        </w:tc>
      </w:tr>
      <w:tr w:rsidR="00311A7E" w:rsidRPr="00311A7E" w:rsidTr="007A1B6F">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CPP</w:t>
            </w:r>
          </w:p>
        </w:tc>
        <w:tc>
          <w:tcPr>
            <w:tcW w:w="2055"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13</w:t>
            </w:r>
            <w:r w:rsidR="007A1B6F">
              <w:rPr>
                <w:rFonts w:ascii="Arial" w:eastAsia="Times New Roman" w:hAnsi="Arial" w:cs="Arial"/>
                <w:sz w:val="20"/>
                <w:szCs w:val="20"/>
              </w:rPr>
              <w:t>,</w:t>
            </w:r>
            <w:r>
              <w:rPr>
                <w:rFonts w:ascii="Arial" w:eastAsia="Times New Roman" w:hAnsi="Arial" w:cs="Arial"/>
                <w:sz w:val="20"/>
                <w:szCs w:val="20"/>
              </w:rPr>
              <w:t>457</w:t>
            </w:r>
            <w:r w:rsidR="007A1B6F">
              <w:rPr>
                <w:rFonts w:ascii="Arial" w:eastAsia="Times New Roman" w:hAnsi="Arial" w:cs="Arial"/>
                <w:sz w:val="20"/>
                <w:szCs w:val="20"/>
              </w:rPr>
              <w:t>,</w:t>
            </w:r>
            <w:r>
              <w:rPr>
                <w:rFonts w:ascii="Arial" w:eastAsia="Times New Roman" w:hAnsi="Arial" w:cs="Arial"/>
                <w:sz w:val="20"/>
                <w:szCs w:val="20"/>
              </w:rPr>
              <w:t>630</w:t>
            </w:r>
          </w:p>
        </w:tc>
        <w:tc>
          <w:tcPr>
            <w:tcW w:w="238" w:type="dxa"/>
            <w:tcBorders>
              <w:top w:val="single" w:sz="4" w:space="0" w:color="999999"/>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3151</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634</w:t>
            </w:r>
            <w:r w:rsidR="007A1B6F">
              <w:rPr>
                <w:rFonts w:ascii="Arial" w:eastAsia="Times New Roman" w:hAnsi="Arial" w:cs="Arial"/>
                <w:sz w:val="20"/>
                <w:szCs w:val="20"/>
              </w:rPr>
              <w:t>,</w:t>
            </w:r>
            <w:r w:rsidRPr="00311A7E">
              <w:rPr>
                <w:rFonts w:ascii="Arial" w:eastAsia="Times New Roman" w:hAnsi="Arial" w:cs="Arial"/>
                <w:sz w:val="20"/>
                <w:szCs w:val="20"/>
              </w:rPr>
              <w:t>177</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43</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1</w:t>
            </w:r>
            <w:r w:rsidR="007A1B6F">
              <w:rPr>
                <w:rFonts w:ascii="Arial" w:eastAsia="Times New Roman" w:hAnsi="Arial" w:cs="Arial"/>
                <w:sz w:val="20"/>
                <w:szCs w:val="20"/>
              </w:rPr>
              <w:t>,</w:t>
            </w:r>
            <w:r>
              <w:rPr>
                <w:rFonts w:ascii="Arial" w:eastAsia="Times New Roman" w:hAnsi="Arial" w:cs="Arial"/>
                <w:sz w:val="20"/>
                <w:szCs w:val="20"/>
              </w:rPr>
              <w:t>162</w:t>
            </w:r>
            <w:r w:rsidR="007A1B6F">
              <w:rPr>
                <w:rFonts w:ascii="Arial" w:eastAsia="Times New Roman" w:hAnsi="Arial" w:cs="Arial"/>
                <w:sz w:val="20"/>
                <w:szCs w:val="20"/>
              </w:rPr>
              <w:t>,</w:t>
            </w:r>
            <w:r>
              <w:rPr>
                <w:rFonts w:ascii="Arial" w:eastAsia="Times New Roman" w:hAnsi="Arial" w:cs="Arial"/>
                <w:sz w:val="20"/>
                <w:szCs w:val="20"/>
              </w:rPr>
              <w:t>288</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149</w:t>
            </w:r>
          </w:p>
        </w:tc>
      </w:tr>
      <w:tr w:rsidR="00311A7E" w:rsidRPr="00311A7E" w:rsidTr="00743315">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CPP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15</w:t>
            </w:r>
            <w:r w:rsidR="007A1B6F">
              <w:rPr>
                <w:rFonts w:ascii="Arial" w:eastAsia="Times New Roman" w:hAnsi="Arial" w:cs="Arial"/>
                <w:sz w:val="20"/>
                <w:szCs w:val="20"/>
              </w:rPr>
              <w:t>.</w:t>
            </w:r>
            <w:r w:rsidRPr="00311A7E">
              <w:rPr>
                <w:rFonts w:ascii="Arial" w:eastAsia="Times New Roman" w:hAnsi="Arial" w:cs="Arial"/>
                <w:sz w:val="20"/>
                <w:szCs w:val="20"/>
              </w:rPr>
              <w:t>254</w:t>
            </w:r>
            <w:r w:rsidR="007A1B6F">
              <w:rPr>
                <w:rFonts w:ascii="Arial" w:eastAsia="Times New Roman" w:hAnsi="Arial" w:cs="Arial"/>
                <w:sz w:val="20"/>
                <w:szCs w:val="20"/>
              </w:rPr>
              <w:t>,095</w:t>
            </w:r>
          </w:p>
        </w:tc>
        <w:tc>
          <w:tcPr>
            <w:tcW w:w="238" w:type="dxa"/>
            <w:tcBorders>
              <w:top w:val="single" w:sz="4" w:space="0" w:color="999999"/>
              <w:left w:val="nil"/>
              <w:bottom w:val="nil"/>
              <w:right w:val="nil"/>
            </w:tcBorders>
            <w:shd w:val="clear" w:color="auto" w:fill="EAF1DD" w:themeFill="accent3" w:themeFillTint="33"/>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3343</w:t>
            </w:r>
          </w:p>
        </w:tc>
      </w:tr>
      <w:tr w:rsidR="00311A7E" w:rsidRPr="00311A7E" w:rsidTr="007A1B6F">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MONO</w:t>
            </w:r>
            <w:r w:rsidR="00664F24">
              <w:rPr>
                <w:rFonts w:ascii="Arial" w:eastAsia="Times New Roman" w:hAnsi="Arial" w:cs="Arial"/>
                <w:sz w:val="20"/>
                <w:szCs w:val="20"/>
              </w:rPr>
              <w:t>*</w:t>
            </w:r>
          </w:p>
        </w:tc>
        <w:tc>
          <w:tcPr>
            <w:tcW w:w="2055"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18</w:t>
            </w:r>
            <w:r w:rsidR="007A1B6F">
              <w:rPr>
                <w:rFonts w:ascii="Arial" w:eastAsia="Times New Roman" w:hAnsi="Arial" w:cs="Arial"/>
                <w:sz w:val="20"/>
                <w:szCs w:val="20"/>
              </w:rPr>
              <w:t>,</w:t>
            </w:r>
            <w:r w:rsidRPr="00311A7E">
              <w:rPr>
                <w:rFonts w:ascii="Arial" w:eastAsia="Times New Roman" w:hAnsi="Arial" w:cs="Arial"/>
                <w:sz w:val="20"/>
                <w:szCs w:val="20"/>
              </w:rPr>
              <w:t>081</w:t>
            </w:r>
          </w:p>
        </w:tc>
        <w:tc>
          <w:tcPr>
            <w:tcW w:w="238" w:type="dxa"/>
            <w:tcBorders>
              <w:top w:val="single" w:sz="4" w:space="0" w:color="999999"/>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28</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170</w:t>
            </w:r>
            <w:r w:rsidR="007A1B6F">
              <w:rPr>
                <w:rFonts w:ascii="Arial" w:eastAsia="Times New Roman" w:hAnsi="Arial" w:cs="Arial"/>
                <w:sz w:val="20"/>
                <w:szCs w:val="20"/>
              </w:rPr>
              <w:t>,</w:t>
            </w:r>
            <w:r w:rsidRPr="00311A7E">
              <w:rPr>
                <w:rFonts w:ascii="Arial" w:eastAsia="Times New Roman" w:hAnsi="Arial" w:cs="Arial"/>
                <w:sz w:val="20"/>
                <w:szCs w:val="20"/>
              </w:rPr>
              <w:t>200</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9</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133</w:t>
            </w:r>
            <w:r w:rsidR="007A1B6F">
              <w:rPr>
                <w:rFonts w:ascii="Arial" w:eastAsia="Times New Roman" w:hAnsi="Arial" w:cs="Arial"/>
                <w:sz w:val="20"/>
                <w:szCs w:val="20"/>
              </w:rPr>
              <w:t>,</w:t>
            </w:r>
            <w:r w:rsidRPr="00311A7E">
              <w:rPr>
                <w:rFonts w:ascii="Arial" w:eastAsia="Times New Roman" w:hAnsi="Arial" w:cs="Arial"/>
                <w:sz w:val="20"/>
                <w:szCs w:val="20"/>
              </w:rPr>
              <w:t>274</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73</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lastRenderedPageBreak/>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7A1B6F" w:rsidP="00311A7E">
            <w:pPr>
              <w:spacing w:after="0" w:line="240" w:lineRule="auto"/>
              <w:rPr>
                <w:rFonts w:ascii="Arial" w:eastAsia="Times New Roman" w:hAnsi="Arial" w:cs="Arial"/>
                <w:sz w:val="20"/>
                <w:szCs w:val="20"/>
              </w:rPr>
            </w:pPr>
            <w:r>
              <w:rPr>
                <w:rFonts w:ascii="Arial" w:eastAsia="Times New Roman" w:hAnsi="Arial" w:cs="Arial"/>
                <w:sz w:val="20"/>
                <w:szCs w:val="20"/>
              </w:rPr>
              <w:t>Senior Living</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7A1B6F"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1,052,065</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63</w:t>
            </w:r>
          </w:p>
        </w:tc>
      </w:tr>
      <w:tr w:rsidR="00311A7E" w:rsidRPr="00311A7E" w:rsidTr="00743315">
        <w:trPr>
          <w:trHeight w:val="251"/>
        </w:trPr>
        <w:tc>
          <w:tcPr>
            <w:tcW w:w="3302" w:type="dxa"/>
            <w:gridSpan w:val="2"/>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MONO</w:t>
            </w:r>
            <w:r w:rsidR="00664F24">
              <w:rPr>
                <w:rFonts w:ascii="Arial" w:eastAsia="Times New Roman" w:hAnsi="Arial" w:cs="Arial"/>
                <w:sz w:val="20"/>
                <w:szCs w:val="20"/>
              </w:rPr>
              <w:t>*</w:t>
            </w:r>
            <w:r w:rsidRPr="00311A7E">
              <w:rPr>
                <w:rFonts w:ascii="Arial" w:eastAsia="Times New Roman" w:hAnsi="Arial" w:cs="Arial"/>
                <w:sz w:val="20"/>
                <w:szCs w:val="20"/>
              </w:rPr>
              <w:t xml:space="preserve"> Total</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7A1B6F"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1,373,620</w:t>
            </w:r>
          </w:p>
        </w:tc>
        <w:tc>
          <w:tcPr>
            <w:tcW w:w="238" w:type="dxa"/>
            <w:tcBorders>
              <w:top w:val="single" w:sz="4" w:space="0" w:color="999999"/>
              <w:left w:val="nil"/>
              <w:bottom w:val="nil"/>
              <w:right w:val="nil"/>
            </w:tcBorders>
            <w:shd w:val="clear" w:color="auto" w:fill="EAF1DD" w:themeFill="accent3" w:themeFillTint="33"/>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173</w:t>
            </w:r>
          </w:p>
        </w:tc>
      </w:tr>
      <w:tr w:rsidR="00311A7E" w:rsidRPr="00311A7E" w:rsidTr="007A1B6F">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UMB</w:t>
            </w:r>
          </w:p>
        </w:tc>
        <w:tc>
          <w:tcPr>
            <w:tcW w:w="2055"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842</w:t>
            </w:r>
            <w:r w:rsidR="007A1B6F">
              <w:rPr>
                <w:rFonts w:ascii="Arial" w:eastAsia="Times New Roman" w:hAnsi="Arial" w:cs="Arial"/>
                <w:sz w:val="20"/>
                <w:szCs w:val="20"/>
              </w:rPr>
              <w:t>,</w:t>
            </w:r>
            <w:r w:rsidRPr="00311A7E">
              <w:rPr>
                <w:rFonts w:ascii="Arial" w:eastAsia="Times New Roman" w:hAnsi="Arial" w:cs="Arial"/>
                <w:sz w:val="20"/>
                <w:szCs w:val="20"/>
              </w:rPr>
              <w:t>782</w:t>
            </w:r>
          </w:p>
        </w:tc>
        <w:tc>
          <w:tcPr>
            <w:tcW w:w="238" w:type="dxa"/>
            <w:tcBorders>
              <w:top w:val="single" w:sz="4" w:space="0" w:color="999999"/>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619</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123</w:t>
            </w:r>
            <w:r w:rsidR="007A1B6F">
              <w:rPr>
                <w:rFonts w:ascii="Arial" w:eastAsia="Times New Roman" w:hAnsi="Arial" w:cs="Arial"/>
                <w:sz w:val="20"/>
                <w:szCs w:val="20"/>
              </w:rPr>
              <w:t>,</w:t>
            </w:r>
            <w:r w:rsidRPr="00311A7E">
              <w:rPr>
                <w:rFonts w:ascii="Arial" w:eastAsia="Times New Roman" w:hAnsi="Arial" w:cs="Arial"/>
                <w:sz w:val="20"/>
                <w:szCs w:val="20"/>
              </w:rPr>
              <w:t>669</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23</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259</w:t>
            </w:r>
            <w:r w:rsidR="007A1B6F">
              <w:rPr>
                <w:rFonts w:ascii="Arial" w:eastAsia="Times New Roman" w:hAnsi="Arial" w:cs="Arial"/>
                <w:sz w:val="20"/>
                <w:szCs w:val="20"/>
              </w:rPr>
              <w:t>,</w:t>
            </w:r>
            <w:r w:rsidRPr="00311A7E">
              <w:rPr>
                <w:rFonts w:ascii="Arial" w:eastAsia="Times New Roman" w:hAnsi="Arial" w:cs="Arial"/>
                <w:sz w:val="20"/>
                <w:szCs w:val="20"/>
              </w:rPr>
              <w:t>302</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45</w:t>
            </w:r>
          </w:p>
        </w:tc>
      </w:tr>
      <w:tr w:rsidR="00311A7E" w:rsidRPr="00311A7E" w:rsidTr="00743315">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UMB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w:t>
            </w:r>
            <w:r w:rsidR="007A1B6F">
              <w:rPr>
                <w:rFonts w:ascii="Arial" w:eastAsia="Times New Roman" w:hAnsi="Arial" w:cs="Arial"/>
                <w:sz w:val="20"/>
                <w:szCs w:val="20"/>
              </w:rPr>
              <w:t>,</w:t>
            </w:r>
            <w:r w:rsidRPr="00311A7E">
              <w:rPr>
                <w:rFonts w:ascii="Arial" w:eastAsia="Times New Roman" w:hAnsi="Arial" w:cs="Arial"/>
                <w:sz w:val="20"/>
                <w:szCs w:val="20"/>
              </w:rPr>
              <w:t>225</w:t>
            </w:r>
            <w:r w:rsidR="007A1B6F">
              <w:rPr>
                <w:rFonts w:ascii="Arial" w:eastAsia="Times New Roman" w:hAnsi="Arial" w:cs="Arial"/>
                <w:sz w:val="20"/>
                <w:szCs w:val="20"/>
              </w:rPr>
              <w:t>,</w:t>
            </w:r>
            <w:r w:rsidRPr="00311A7E">
              <w:rPr>
                <w:rFonts w:ascii="Arial" w:eastAsia="Times New Roman" w:hAnsi="Arial" w:cs="Arial"/>
                <w:sz w:val="20"/>
                <w:szCs w:val="20"/>
              </w:rPr>
              <w:t>753</w:t>
            </w:r>
          </w:p>
        </w:tc>
        <w:tc>
          <w:tcPr>
            <w:tcW w:w="238" w:type="dxa"/>
            <w:tcBorders>
              <w:top w:val="single" w:sz="4" w:space="0" w:color="999999"/>
              <w:left w:val="nil"/>
              <w:bottom w:val="nil"/>
              <w:right w:val="nil"/>
            </w:tcBorders>
            <w:shd w:val="clear" w:color="auto" w:fill="EAF1DD" w:themeFill="accent3" w:themeFillTint="33"/>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687</w:t>
            </w:r>
          </w:p>
        </w:tc>
      </w:tr>
      <w:tr w:rsidR="00311A7E" w:rsidRPr="00311A7E" w:rsidTr="007A1B6F">
        <w:trPr>
          <w:trHeight w:val="251"/>
        </w:trPr>
        <w:tc>
          <w:tcPr>
            <w:tcW w:w="1247"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WC</w:t>
            </w:r>
          </w:p>
        </w:tc>
        <w:tc>
          <w:tcPr>
            <w:tcW w:w="2055" w:type="dxa"/>
            <w:tcBorders>
              <w:top w:val="single" w:sz="4" w:space="0" w:color="999999"/>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Church</w:t>
            </w:r>
          </w:p>
        </w:tc>
        <w:tc>
          <w:tcPr>
            <w:tcW w:w="3029" w:type="dxa"/>
            <w:tcBorders>
              <w:top w:val="single" w:sz="4" w:space="0" w:color="999999"/>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10</w:t>
            </w:r>
            <w:r w:rsidR="007A1B6F">
              <w:rPr>
                <w:rFonts w:ascii="Arial" w:eastAsia="Times New Roman" w:hAnsi="Arial" w:cs="Arial"/>
                <w:sz w:val="20"/>
                <w:szCs w:val="20"/>
              </w:rPr>
              <w:t>,</w:t>
            </w:r>
            <w:r>
              <w:rPr>
                <w:rFonts w:ascii="Arial" w:eastAsia="Times New Roman" w:hAnsi="Arial" w:cs="Arial"/>
                <w:sz w:val="20"/>
                <w:szCs w:val="20"/>
              </w:rPr>
              <w:t>598</w:t>
            </w:r>
            <w:r w:rsidR="007A1B6F">
              <w:rPr>
                <w:rFonts w:ascii="Arial" w:eastAsia="Times New Roman" w:hAnsi="Arial" w:cs="Arial"/>
                <w:sz w:val="20"/>
                <w:szCs w:val="20"/>
              </w:rPr>
              <w:t>,</w:t>
            </w:r>
            <w:r>
              <w:rPr>
                <w:rFonts w:ascii="Arial" w:eastAsia="Times New Roman" w:hAnsi="Arial" w:cs="Arial"/>
                <w:sz w:val="20"/>
                <w:szCs w:val="20"/>
              </w:rPr>
              <w:t>619</w:t>
            </w:r>
          </w:p>
        </w:tc>
        <w:tc>
          <w:tcPr>
            <w:tcW w:w="238" w:type="dxa"/>
            <w:tcBorders>
              <w:top w:val="single" w:sz="4" w:space="0" w:color="999999"/>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2139</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Education</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1</w:t>
            </w:r>
            <w:r w:rsidR="007A1B6F">
              <w:rPr>
                <w:rFonts w:ascii="Arial" w:eastAsia="Times New Roman" w:hAnsi="Arial" w:cs="Arial"/>
                <w:sz w:val="20"/>
                <w:szCs w:val="20"/>
              </w:rPr>
              <w:t>,</w:t>
            </w:r>
            <w:r>
              <w:rPr>
                <w:rFonts w:ascii="Arial" w:eastAsia="Times New Roman" w:hAnsi="Arial" w:cs="Arial"/>
                <w:sz w:val="20"/>
                <w:szCs w:val="20"/>
              </w:rPr>
              <w:t>961</w:t>
            </w:r>
            <w:r w:rsidR="007A1B6F">
              <w:rPr>
                <w:rFonts w:ascii="Arial" w:eastAsia="Times New Roman" w:hAnsi="Arial" w:cs="Arial"/>
                <w:sz w:val="20"/>
                <w:szCs w:val="20"/>
              </w:rPr>
              <w:t>,</w:t>
            </w:r>
            <w:r>
              <w:rPr>
                <w:rFonts w:ascii="Arial" w:eastAsia="Times New Roman" w:hAnsi="Arial" w:cs="Arial"/>
                <w:sz w:val="20"/>
                <w:szCs w:val="20"/>
              </w:rPr>
              <w:t>999</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43</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Non-Profit</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3</w:t>
            </w:r>
            <w:r w:rsidR="007A1B6F">
              <w:rPr>
                <w:rFonts w:ascii="Arial" w:eastAsia="Times New Roman" w:hAnsi="Arial" w:cs="Arial"/>
                <w:sz w:val="20"/>
                <w:szCs w:val="20"/>
              </w:rPr>
              <w:t>,</w:t>
            </w:r>
            <w:r>
              <w:rPr>
                <w:rFonts w:ascii="Arial" w:eastAsia="Times New Roman" w:hAnsi="Arial" w:cs="Arial"/>
                <w:sz w:val="20"/>
                <w:szCs w:val="20"/>
              </w:rPr>
              <w:t>405</w:t>
            </w:r>
            <w:r w:rsidR="007A1B6F">
              <w:rPr>
                <w:rFonts w:ascii="Arial" w:eastAsia="Times New Roman" w:hAnsi="Arial" w:cs="Arial"/>
                <w:sz w:val="20"/>
                <w:szCs w:val="20"/>
              </w:rPr>
              <w:t>,</w:t>
            </w:r>
            <w:r>
              <w:rPr>
                <w:rFonts w:ascii="Arial" w:eastAsia="Times New Roman" w:hAnsi="Arial" w:cs="Arial"/>
                <w:sz w:val="20"/>
                <w:szCs w:val="20"/>
              </w:rPr>
              <w:t>540</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113</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Programs</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8</w:t>
            </w:r>
            <w:r w:rsidR="007A1B6F">
              <w:rPr>
                <w:rFonts w:ascii="Arial" w:eastAsia="Times New Roman" w:hAnsi="Arial" w:cs="Arial"/>
                <w:sz w:val="20"/>
                <w:szCs w:val="20"/>
              </w:rPr>
              <w:t>,</w:t>
            </w:r>
            <w:r>
              <w:rPr>
                <w:rFonts w:ascii="Arial" w:eastAsia="Times New Roman" w:hAnsi="Arial" w:cs="Arial"/>
                <w:sz w:val="20"/>
                <w:szCs w:val="20"/>
              </w:rPr>
              <w:t>080</w:t>
            </w:r>
            <w:r w:rsidR="007A1B6F">
              <w:rPr>
                <w:rFonts w:ascii="Arial" w:eastAsia="Times New Roman" w:hAnsi="Arial" w:cs="Arial"/>
                <w:sz w:val="20"/>
                <w:szCs w:val="20"/>
              </w:rPr>
              <w:t>,</w:t>
            </w:r>
            <w:r>
              <w:rPr>
                <w:rFonts w:ascii="Arial" w:eastAsia="Times New Roman" w:hAnsi="Arial" w:cs="Arial"/>
                <w:sz w:val="20"/>
                <w:szCs w:val="20"/>
              </w:rPr>
              <w:t>776</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50</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7A1B6F" w:rsidP="00311A7E">
            <w:pPr>
              <w:spacing w:after="0" w:line="240" w:lineRule="auto"/>
              <w:rPr>
                <w:rFonts w:ascii="Arial" w:eastAsia="Times New Roman" w:hAnsi="Arial" w:cs="Arial"/>
                <w:sz w:val="20"/>
                <w:szCs w:val="20"/>
              </w:rPr>
            </w:pPr>
            <w:r>
              <w:rPr>
                <w:rFonts w:ascii="Arial" w:eastAsia="Times New Roman" w:hAnsi="Arial" w:cs="Arial"/>
                <w:sz w:val="20"/>
                <w:szCs w:val="20"/>
              </w:rPr>
              <w:t>Senior Living</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9</w:t>
            </w:r>
            <w:r w:rsidR="007A1B6F">
              <w:rPr>
                <w:rFonts w:ascii="Arial" w:eastAsia="Times New Roman" w:hAnsi="Arial" w:cs="Arial"/>
                <w:sz w:val="20"/>
                <w:szCs w:val="20"/>
              </w:rPr>
              <w:t>,</w:t>
            </w:r>
            <w:r>
              <w:rPr>
                <w:rFonts w:ascii="Arial" w:eastAsia="Times New Roman" w:hAnsi="Arial" w:cs="Arial"/>
                <w:sz w:val="20"/>
                <w:szCs w:val="20"/>
              </w:rPr>
              <w:t>999</w:t>
            </w:r>
            <w:r w:rsidR="007A1B6F">
              <w:rPr>
                <w:rFonts w:ascii="Arial" w:eastAsia="Times New Roman" w:hAnsi="Arial" w:cs="Arial"/>
                <w:sz w:val="20"/>
                <w:szCs w:val="20"/>
              </w:rPr>
              <w:t>,</w:t>
            </w:r>
            <w:r>
              <w:rPr>
                <w:rFonts w:ascii="Arial" w:eastAsia="Times New Roman" w:hAnsi="Arial" w:cs="Arial"/>
                <w:sz w:val="20"/>
                <w:szCs w:val="20"/>
              </w:rPr>
              <w:t>641</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664F24"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41</w:t>
            </w:r>
          </w:p>
        </w:tc>
      </w:tr>
      <w:tr w:rsidR="00311A7E" w:rsidRPr="00311A7E" w:rsidTr="007A1B6F">
        <w:trPr>
          <w:trHeight w:val="251"/>
        </w:trPr>
        <w:tc>
          <w:tcPr>
            <w:tcW w:w="1247"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2055" w:type="dxa"/>
            <w:tcBorders>
              <w:top w:val="nil"/>
              <w:left w:val="single" w:sz="4" w:space="0" w:color="999999"/>
              <w:bottom w:val="nil"/>
              <w:right w:val="nil"/>
            </w:tcBorders>
            <w:shd w:val="clear" w:color="auto" w:fill="auto"/>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Small Busi</w:t>
            </w:r>
            <w:r w:rsidR="007A1B6F">
              <w:rPr>
                <w:rFonts w:ascii="Arial" w:eastAsia="Times New Roman" w:hAnsi="Arial" w:cs="Arial"/>
                <w:sz w:val="20"/>
                <w:szCs w:val="20"/>
              </w:rPr>
              <w:t>ness</w:t>
            </w:r>
          </w:p>
        </w:tc>
        <w:tc>
          <w:tcPr>
            <w:tcW w:w="3029" w:type="dxa"/>
            <w:tcBorders>
              <w:top w:val="nil"/>
              <w:left w:val="single" w:sz="4" w:space="0" w:color="999999"/>
              <w:bottom w:val="nil"/>
              <w:right w:val="nil"/>
            </w:tcBorders>
            <w:shd w:val="clear" w:color="auto" w:fill="auto"/>
            <w:noWrap/>
            <w:vAlign w:val="bottom"/>
            <w:hideMark/>
          </w:tcPr>
          <w:p w:rsidR="00311A7E" w:rsidRPr="00311A7E" w:rsidRDefault="00B44957"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663</w:t>
            </w:r>
            <w:r w:rsidR="007A1B6F">
              <w:rPr>
                <w:rFonts w:ascii="Arial" w:eastAsia="Times New Roman" w:hAnsi="Arial" w:cs="Arial"/>
                <w:sz w:val="20"/>
                <w:szCs w:val="20"/>
              </w:rPr>
              <w:t>,</w:t>
            </w:r>
            <w:r>
              <w:rPr>
                <w:rFonts w:ascii="Arial" w:eastAsia="Times New Roman" w:hAnsi="Arial" w:cs="Arial"/>
                <w:sz w:val="20"/>
                <w:szCs w:val="20"/>
              </w:rPr>
              <w:t>361</w:t>
            </w:r>
          </w:p>
        </w:tc>
        <w:tc>
          <w:tcPr>
            <w:tcW w:w="238" w:type="dxa"/>
            <w:tcBorders>
              <w:top w:val="nil"/>
              <w:left w:val="nil"/>
              <w:bottom w:val="nil"/>
              <w:right w:val="nil"/>
            </w:tcBorders>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nil"/>
              <w:left w:val="nil"/>
              <w:bottom w:val="nil"/>
              <w:right w:val="single" w:sz="4" w:space="0" w:color="999999"/>
            </w:tcBorders>
            <w:shd w:val="clear" w:color="auto" w:fill="auto"/>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157</w:t>
            </w:r>
          </w:p>
        </w:tc>
      </w:tr>
      <w:tr w:rsidR="00311A7E" w:rsidRPr="00311A7E" w:rsidTr="00743315">
        <w:trPr>
          <w:trHeight w:val="251"/>
        </w:trPr>
        <w:tc>
          <w:tcPr>
            <w:tcW w:w="1247"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WC Total</w:t>
            </w:r>
          </w:p>
        </w:tc>
        <w:tc>
          <w:tcPr>
            <w:tcW w:w="2055" w:type="dxa"/>
            <w:tcBorders>
              <w:top w:val="single" w:sz="4" w:space="0" w:color="999999"/>
              <w:left w:val="nil"/>
              <w:bottom w:val="nil"/>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nil"/>
              <w:right w:val="nil"/>
            </w:tcBorders>
            <w:shd w:val="clear" w:color="auto" w:fill="EAF1DD" w:themeFill="accent3" w:themeFillTint="33"/>
            <w:noWrap/>
            <w:vAlign w:val="bottom"/>
            <w:hideMark/>
          </w:tcPr>
          <w:p w:rsidR="00311A7E" w:rsidRPr="00311A7E" w:rsidRDefault="00B44957"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34</w:t>
            </w:r>
            <w:r w:rsidR="007A1B6F">
              <w:rPr>
                <w:rFonts w:ascii="Arial" w:eastAsia="Times New Roman" w:hAnsi="Arial" w:cs="Arial"/>
                <w:sz w:val="20"/>
                <w:szCs w:val="20"/>
              </w:rPr>
              <w:t>,</w:t>
            </w:r>
            <w:r>
              <w:rPr>
                <w:rFonts w:ascii="Arial" w:eastAsia="Times New Roman" w:hAnsi="Arial" w:cs="Arial"/>
                <w:sz w:val="20"/>
                <w:szCs w:val="20"/>
              </w:rPr>
              <w:t>709</w:t>
            </w:r>
            <w:r w:rsidR="007A1B6F">
              <w:rPr>
                <w:rFonts w:ascii="Arial" w:eastAsia="Times New Roman" w:hAnsi="Arial" w:cs="Arial"/>
                <w:sz w:val="20"/>
                <w:szCs w:val="20"/>
              </w:rPr>
              <w:t>,</w:t>
            </w:r>
            <w:r>
              <w:rPr>
                <w:rFonts w:ascii="Arial" w:eastAsia="Times New Roman" w:hAnsi="Arial" w:cs="Arial"/>
                <w:sz w:val="20"/>
                <w:szCs w:val="20"/>
              </w:rPr>
              <w:t>936</w:t>
            </w:r>
          </w:p>
        </w:tc>
        <w:tc>
          <w:tcPr>
            <w:tcW w:w="238" w:type="dxa"/>
            <w:tcBorders>
              <w:top w:val="single" w:sz="4" w:space="0" w:color="999999"/>
              <w:left w:val="nil"/>
              <w:bottom w:val="nil"/>
              <w:right w:val="nil"/>
            </w:tcBorders>
            <w:shd w:val="clear" w:color="auto" w:fill="EAF1DD" w:themeFill="accent3" w:themeFillTint="33"/>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nil"/>
              <w:right w:val="single" w:sz="4" w:space="0" w:color="999999"/>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2543</w:t>
            </w:r>
          </w:p>
        </w:tc>
      </w:tr>
      <w:tr w:rsidR="00311A7E" w:rsidRPr="00311A7E" w:rsidTr="00743315">
        <w:trPr>
          <w:trHeight w:val="251"/>
        </w:trPr>
        <w:tc>
          <w:tcPr>
            <w:tcW w:w="1247" w:type="dxa"/>
            <w:tcBorders>
              <w:top w:val="single" w:sz="4" w:space="0" w:color="999999"/>
              <w:left w:val="single" w:sz="4" w:space="0" w:color="999999"/>
              <w:bottom w:val="single" w:sz="4" w:space="0" w:color="999999"/>
              <w:right w:val="nil"/>
            </w:tcBorders>
            <w:shd w:val="clear" w:color="auto" w:fill="EAF1DD" w:themeFill="accent3" w:themeFillTint="33"/>
            <w:noWrap/>
            <w:vAlign w:val="bottom"/>
            <w:hideMark/>
          </w:tcPr>
          <w:p w:rsidR="00311A7E" w:rsidRPr="00B00EAA" w:rsidRDefault="00311A7E" w:rsidP="00311A7E">
            <w:pPr>
              <w:spacing w:after="0" w:line="240" w:lineRule="auto"/>
              <w:rPr>
                <w:rFonts w:ascii="Arial" w:eastAsia="Times New Roman" w:hAnsi="Arial" w:cs="Arial"/>
                <w:b/>
                <w:sz w:val="20"/>
                <w:szCs w:val="20"/>
              </w:rPr>
            </w:pPr>
            <w:r w:rsidRPr="00B00EAA">
              <w:rPr>
                <w:rFonts w:ascii="Arial" w:eastAsia="Times New Roman" w:hAnsi="Arial" w:cs="Arial"/>
                <w:b/>
                <w:sz w:val="20"/>
                <w:szCs w:val="20"/>
              </w:rPr>
              <w:t>Grand Total</w:t>
            </w:r>
          </w:p>
        </w:tc>
        <w:tc>
          <w:tcPr>
            <w:tcW w:w="2055" w:type="dxa"/>
            <w:tcBorders>
              <w:top w:val="single" w:sz="4" w:space="0" w:color="999999"/>
              <w:left w:val="nil"/>
              <w:bottom w:val="single" w:sz="4" w:space="0" w:color="999999"/>
              <w:right w:val="nil"/>
            </w:tcBorders>
            <w:shd w:val="clear" w:color="auto" w:fill="EAF1DD" w:themeFill="accent3" w:themeFillTint="33"/>
            <w:noWrap/>
            <w:vAlign w:val="bottom"/>
            <w:hideMark/>
          </w:tcPr>
          <w:p w:rsidR="00311A7E" w:rsidRPr="00311A7E" w:rsidRDefault="00311A7E" w:rsidP="00311A7E">
            <w:pPr>
              <w:spacing w:after="0" w:line="240" w:lineRule="auto"/>
              <w:rPr>
                <w:rFonts w:ascii="Arial" w:eastAsia="Times New Roman" w:hAnsi="Arial" w:cs="Arial"/>
                <w:sz w:val="20"/>
                <w:szCs w:val="20"/>
              </w:rPr>
            </w:pPr>
            <w:r w:rsidRPr="00311A7E">
              <w:rPr>
                <w:rFonts w:ascii="Arial" w:eastAsia="Times New Roman" w:hAnsi="Arial" w:cs="Arial"/>
                <w:sz w:val="20"/>
                <w:szCs w:val="20"/>
              </w:rPr>
              <w:t> </w:t>
            </w:r>
          </w:p>
        </w:tc>
        <w:tc>
          <w:tcPr>
            <w:tcW w:w="3029" w:type="dxa"/>
            <w:tcBorders>
              <w:top w:val="single" w:sz="4" w:space="0" w:color="999999"/>
              <w:left w:val="single" w:sz="4" w:space="0" w:color="999999"/>
              <w:bottom w:val="single" w:sz="4" w:space="0" w:color="999999"/>
              <w:right w:val="nil"/>
            </w:tcBorders>
            <w:shd w:val="clear" w:color="auto" w:fill="EAF1DD" w:themeFill="accent3" w:themeFillTint="33"/>
            <w:noWrap/>
            <w:vAlign w:val="bottom"/>
            <w:hideMark/>
          </w:tcPr>
          <w:p w:rsidR="00311A7E" w:rsidRPr="00311A7E" w:rsidRDefault="00B44957" w:rsidP="00311A7E">
            <w:pPr>
              <w:spacing w:after="0" w:line="240" w:lineRule="auto"/>
              <w:jc w:val="right"/>
              <w:rPr>
                <w:rFonts w:ascii="Arial" w:eastAsia="Times New Roman" w:hAnsi="Arial" w:cs="Arial"/>
                <w:sz w:val="20"/>
                <w:szCs w:val="20"/>
              </w:rPr>
            </w:pPr>
            <w:r>
              <w:rPr>
                <w:rFonts w:ascii="Arial" w:eastAsia="Times New Roman" w:hAnsi="Arial" w:cs="Arial"/>
                <w:sz w:val="20"/>
                <w:szCs w:val="20"/>
              </w:rPr>
              <w:t>54</w:t>
            </w:r>
            <w:r w:rsidR="007A1B6F">
              <w:rPr>
                <w:rFonts w:ascii="Arial" w:eastAsia="Times New Roman" w:hAnsi="Arial" w:cs="Arial"/>
                <w:sz w:val="20"/>
                <w:szCs w:val="20"/>
              </w:rPr>
              <w:t>,</w:t>
            </w:r>
            <w:r>
              <w:rPr>
                <w:rFonts w:ascii="Arial" w:eastAsia="Times New Roman" w:hAnsi="Arial" w:cs="Arial"/>
                <w:sz w:val="20"/>
                <w:szCs w:val="20"/>
              </w:rPr>
              <w:t>931</w:t>
            </w:r>
            <w:r w:rsidR="007A1B6F">
              <w:rPr>
                <w:rFonts w:ascii="Arial" w:eastAsia="Times New Roman" w:hAnsi="Arial" w:cs="Arial"/>
                <w:sz w:val="20"/>
                <w:szCs w:val="20"/>
              </w:rPr>
              <w:t>,</w:t>
            </w:r>
            <w:r>
              <w:rPr>
                <w:rFonts w:ascii="Arial" w:eastAsia="Times New Roman" w:hAnsi="Arial" w:cs="Arial"/>
                <w:sz w:val="20"/>
                <w:szCs w:val="20"/>
              </w:rPr>
              <w:t>212</w:t>
            </w:r>
          </w:p>
        </w:tc>
        <w:tc>
          <w:tcPr>
            <w:tcW w:w="238" w:type="dxa"/>
            <w:tcBorders>
              <w:top w:val="single" w:sz="4" w:space="0" w:color="999999"/>
              <w:left w:val="nil"/>
              <w:bottom w:val="single" w:sz="4" w:space="0" w:color="999999"/>
              <w:right w:val="nil"/>
            </w:tcBorders>
            <w:shd w:val="clear" w:color="auto" w:fill="EAF1DD" w:themeFill="accent3" w:themeFillTint="33"/>
          </w:tcPr>
          <w:p w:rsidR="00311A7E" w:rsidRPr="00311A7E" w:rsidRDefault="00311A7E" w:rsidP="00311A7E">
            <w:pPr>
              <w:spacing w:after="0" w:line="240" w:lineRule="auto"/>
              <w:jc w:val="right"/>
              <w:rPr>
                <w:rFonts w:ascii="Arial" w:eastAsia="Times New Roman" w:hAnsi="Arial" w:cs="Arial"/>
                <w:sz w:val="20"/>
                <w:szCs w:val="20"/>
              </w:rPr>
            </w:pPr>
          </w:p>
        </w:tc>
        <w:tc>
          <w:tcPr>
            <w:tcW w:w="2587" w:type="dxa"/>
            <w:tcBorders>
              <w:top w:val="single" w:sz="4" w:space="0" w:color="999999"/>
              <w:left w:val="nil"/>
              <w:bottom w:val="single" w:sz="4" w:space="0" w:color="999999"/>
              <w:right w:val="single" w:sz="4" w:space="0" w:color="999999"/>
            </w:tcBorders>
            <w:shd w:val="clear" w:color="auto" w:fill="EAF1DD" w:themeFill="accent3" w:themeFillTint="33"/>
            <w:noWrap/>
            <w:vAlign w:val="bottom"/>
            <w:hideMark/>
          </w:tcPr>
          <w:p w:rsidR="00311A7E" w:rsidRPr="00311A7E" w:rsidRDefault="00311A7E" w:rsidP="00311A7E">
            <w:pPr>
              <w:spacing w:after="0" w:line="240" w:lineRule="auto"/>
              <w:jc w:val="right"/>
              <w:rPr>
                <w:rFonts w:ascii="Arial" w:eastAsia="Times New Roman" w:hAnsi="Arial" w:cs="Arial"/>
                <w:sz w:val="20"/>
                <w:szCs w:val="20"/>
              </w:rPr>
            </w:pPr>
            <w:r w:rsidRPr="00311A7E">
              <w:rPr>
                <w:rFonts w:ascii="Arial" w:eastAsia="Times New Roman" w:hAnsi="Arial" w:cs="Arial"/>
                <w:sz w:val="20"/>
                <w:szCs w:val="20"/>
              </w:rPr>
              <w:t>7801</w:t>
            </w:r>
          </w:p>
        </w:tc>
      </w:tr>
    </w:tbl>
    <w:p w:rsidR="005A64D9" w:rsidRDefault="005A64D9" w:rsidP="005A64D9">
      <w:pPr>
        <w:spacing w:after="0" w:line="240" w:lineRule="auto"/>
        <w:rPr>
          <w:rFonts w:ascii="Arial" w:hAnsi="Arial" w:cs="Arial"/>
          <w:sz w:val="20"/>
          <w:szCs w:val="20"/>
        </w:rPr>
      </w:pPr>
    </w:p>
    <w:p w:rsidR="00311A7E" w:rsidRDefault="00311A7E" w:rsidP="005A64D9">
      <w:pPr>
        <w:spacing w:after="0" w:line="240" w:lineRule="auto"/>
        <w:rPr>
          <w:rFonts w:ascii="Arial" w:hAnsi="Arial" w:cs="Arial"/>
          <w:sz w:val="20"/>
          <w:szCs w:val="20"/>
          <w:u w:val="single"/>
        </w:rPr>
      </w:pPr>
    </w:p>
    <w:p w:rsidR="00311A7E" w:rsidRDefault="00664F24" w:rsidP="005A64D9">
      <w:pPr>
        <w:spacing w:after="0" w:line="240" w:lineRule="auto"/>
        <w:rPr>
          <w:rFonts w:ascii="Arial" w:hAnsi="Arial" w:cs="Arial"/>
          <w:sz w:val="20"/>
          <w:szCs w:val="20"/>
        </w:rPr>
      </w:pPr>
      <w:r>
        <w:rPr>
          <w:rFonts w:ascii="Arial" w:hAnsi="Arial" w:cs="Arial"/>
          <w:sz w:val="20"/>
          <w:szCs w:val="20"/>
        </w:rPr>
        <w:t xml:space="preserve">*Please note, the vast majority of the MONO referenced above is </w:t>
      </w:r>
      <w:proofErr w:type="spellStart"/>
      <w:r>
        <w:rPr>
          <w:rFonts w:ascii="Arial" w:hAnsi="Arial" w:cs="Arial"/>
          <w:sz w:val="20"/>
          <w:szCs w:val="20"/>
        </w:rPr>
        <w:t>Monoline</w:t>
      </w:r>
      <w:proofErr w:type="spellEnd"/>
      <w:r>
        <w:rPr>
          <w:rFonts w:ascii="Arial" w:hAnsi="Arial" w:cs="Arial"/>
          <w:sz w:val="20"/>
          <w:szCs w:val="20"/>
        </w:rPr>
        <w:t xml:space="preserve"> Property.</w:t>
      </w:r>
    </w:p>
    <w:p w:rsidR="007E15A2" w:rsidRDefault="007E15A2" w:rsidP="005A64D9">
      <w:pPr>
        <w:spacing w:after="0" w:line="240" w:lineRule="auto"/>
        <w:rPr>
          <w:rFonts w:ascii="Arial" w:hAnsi="Arial" w:cs="Arial"/>
          <w:sz w:val="20"/>
          <w:szCs w:val="20"/>
        </w:rPr>
      </w:pPr>
    </w:p>
    <w:p w:rsidR="007E15A2" w:rsidRDefault="007E15A2" w:rsidP="005A64D9">
      <w:pPr>
        <w:spacing w:after="0" w:line="240" w:lineRule="auto"/>
        <w:rPr>
          <w:rFonts w:ascii="Arial" w:hAnsi="Arial" w:cs="Arial"/>
          <w:sz w:val="20"/>
          <w:szCs w:val="20"/>
        </w:rPr>
      </w:pPr>
    </w:p>
    <w:p w:rsidR="007E15A2" w:rsidRDefault="007E15A2" w:rsidP="005A64D9">
      <w:pPr>
        <w:spacing w:after="0" w:line="240" w:lineRule="auto"/>
        <w:rPr>
          <w:rFonts w:ascii="Arial" w:hAnsi="Arial" w:cs="Arial"/>
          <w:sz w:val="20"/>
          <w:szCs w:val="20"/>
        </w:rPr>
      </w:pPr>
    </w:p>
    <w:p w:rsidR="007E15A2" w:rsidRDefault="007E15A2" w:rsidP="005A64D9">
      <w:pPr>
        <w:spacing w:after="0" w:line="240" w:lineRule="auto"/>
        <w:rPr>
          <w:rFonts w:ascii="Arial" w:hAnsi="Arial" w:cs="Arial"/>
          <w:sz w:val="20"/>
          <w:szCs w:val="20"/>
        </w:rPr>
      </w:pPr>
    </w:p>
    <w:p w:rsidR="007E15A2" w:rsidRDefault="007E15A2" w:rsidP="005A64D9">
      <w:pPr>
        <w:spacing w:after="0" w:line="240" w:lineRule="auto"/>
        <w:rPr>
          <w:rFonts w:ascii="Arial" w:hAnsi="Arial" w:cs="Arial"/>
          <w:sz w:val="20"/>
          <w:szCs w:val="20"/>
          <w:u w:val="single"/>
        </w:rPr>
      </w:pPr>
      <w:r w:rsidRPr="007E15A2">
        <w:rPr>
          <w:rFonts w:ascii="Arial" w:hAnsi="Arial" w:cs="Arial"/>
          <w:sz w:val="20"/>
          <w:szCs w:val="20"/>
          <w:u w:val="single"/>
        </w:rPr>
        <w:t>Progr</w:t>
      </w:r>
      <w:r>
        <w:rPr>
          <w:rFonts w:ascii="Arial" w:hAnsi="Arial" w:cs="Arial"/>
          <w:sz w:val="20"/>
          <w:szCs w:val="20"/>
          <w:u w:val="single"/>
        </w:rPr>
        <w:t>ams Business</w:t>
      </w:r>
    </w:p>
    <w:p w:rsidR="007E15A2" w:rsidRPr="007E15A2" w:rsidRDefault="007E15A2" w:rsidP="005A64D9">
      <w:pPr>
        <w:spacing w:after="0" w:line="240" w:lineRule="auto"/>
        <w:rPr>
          <w:rFonts w:ascii="Arial" w:hAnsi="Arial" w:cs="Arial"/>
          <w:sz w:val="20"/>
          <w:szCs w:val="20"/>
          <w:u w:val="single"/>
        </w:rPr>
      </w:pPr>
    </w:p>
    <w:p w:rsidR="007E15A2" w:rsidRPr="00664F24" w:rsidRDefault="007E15A2" w:rsidP="005A64D9">
      <w:pPr>
        <w:spacing w:after="0" w:line="240" w:lineRule="auto"/>
        <w:rPr>
          <w:rFonts w:ascii="Arial" w:hAnsi="Arial" w:cs="Arial"/>
          <w:sz w:val="20"/>
          <w:szCs w:val="20"/>
        </w:rPr>
      </w:pPr>
    </w:p>
    <w:tbl>
      <w:tblPr>
        <w:tblW w:w="10697" w:type="dxa"/>
        <w:tblInd w:w="-450" w:type="dxa"/>
        <w:tblLook w:val="04A0" w:firstRow="1" w:lastRow="0" w:firstColumn="1" w:lastColumn="0" w:noHBand="0" w:noVBand="1"/>
      </w:tblPr>
      <w:tblGrid>
        <w:gridCol w:w="222"/>
        <w:gridCol w:w="2158"/>
        <w:gridCol w:w="945"/>
        <w:gridCol w:w="945"/>
        <w:gridCol w:w="945"/>
        <w:gridCol w:w="1036"/>
        <w:gridCol w:w="800"/>
        <w:gridCol w:w="718"/>
        <w:gridCol w:w="945"/>
        <w:gridCol w:w="947"/>
        <w:gridCol w:w="1036"/>
      </w:tblGrid>
      <w:tr w:rsidR="007A1B6F" w:rsidRPr="007A1B6F" w:rsidTr="007A1B6F">
        <w:trPr>
          <w:trHeight w:val="624"/>
        </w:trPr>
        <w:tc>
          <w:tcPr>
            <w:tcW w:w="2380" w:type="dxa"/>
            <w:gridSpan w:val="2"/>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b/>
                <w:bCs/>
                <w:color w:val="000000"/>
                <w:sz w:val="18"/>
                <w:szCs w:val="18"/>
              </w:rPr>
            </w:pPr>
            <w:r w:rsidRPr="007A1B6F">
              <w:rPr>
                <w:rFonts w:ascii="Calibri" w:eastAsia="Times New Roman" w:hAnsi="Calibri" w:cs="Calibri"/>
                <w:b/>
                <w:bCs/>
                <w:color w:val="000000"/>
                <w:sz w:val="18"/>
                <w:szCs w:val="18"/>
              </w:rPr>
              <w:t>California</w:t>
            </w:r>
          </w:p>
        </w:tc>
        <w:tc>
          <w:tcPr>
            <w:tcW w:w="945" w:type="dxa"/>
            <w:tcBorders>
              <w:top w:val="nil"/>
              <w:left w:val="nil"/>
              <w:bottom w:val="nil"/>
              <w:right w:val="nil"/>
            </w:tcBorders>
            <w:shd w:val="clear" w:color="000000" w:fill="DDEBF7"/>
            <w:vAlign w:val="bottom"/>
            <w:hideMark/>
          </w:tcPr>
          <w:p w:rsidR="007A1B6F" w:rsidRPr="007A1B6F" w:rsidRDefault="007A1B6F" w:rsidP="007A1B6F">
            <w:pPr>
              <w:spacing w:after="0" w:line="240" w:lineRule="auto"/>
              <w:rPr>
                <w:rFonts w:ascii="Calibri" w:eastAsia="Times New Roman" w:hAnsi="Calibri" w:cs="Calibri"/>
                <w:b/>
                <w:bCs/>
                <w:sz w:val="18"/>
                <w:szCs w:val="18"/>
              </w:rPr>
            </w:pPr>
            <w:r w:rsidRPr="007A1B6F">
              <w:rPr>
                <w:rFonts w:ascii="Calibri" w:eastAsia="Times New Roman" w:hAnsi="Calibri" w:cs="Calibri"/>
                <w:b/>
                <w:bCs/>
                <w:sz w:val="18"/>
                <w:szCs w:val="18"/>
              </w:rPr>
              <w:t>Auto Liability</w:t>
            </w:r>
          </w:p>
        </w:tc>
        <w:tc>
          <w:tcPr>
            <w:tcW w:w="945" w:type="dxa"/>
            <w:tcBorders>
              <w:top w:val="nil"/>
              <w:left w:val="nil"/>
              <w:bottom w:val="nil"/>
              <w:right w:val="nil"/>
            </w:tcBorders>
            <w:shd w:val="clear" w:color="000000" w:fill="DDEBF7"/>
            <w:vAlign w:val="bottom"/>
            <w:hideMark/>
          </w:tcPr>
          <w:p w:rsidR="007A1B6F" w:rsidRPr="007A1B6F" w:rsidRDefault="007A1B6F" w:rsidP="007A1B6F">
            <w:pPr>
              <w:spacing w:after="0" w:line="240" w:lineRule="auto"/>
              <w:rPr>
                <w:rFonts w:ascii="Calibri" w:eastAsia="Times New Roman" w:hAnsi="Calibri" w:cs="Calibri"/>
                <w:b/>
                <w:bCs/>
                <w:sz w:val="18"/>
                <w:szCs w:val="18"/>
              </w:rPr>
            </w:pPr>
            <w:r w:rsidRPr="007A1B6F">
              <w:rPr>
                <w:rFonts w:ascii="Calibri" w:eastAsia="Times New Roman" w:hAnsi="Calibri" w:cs="Calibri"/>
                <w:b/>
                <w:bCs/>
                <w:sz w:val="18"/>
                <w:szCs w:val="18"/>
              </w:rPr>
              <w:t>APD</w:t>
            </w:r>
          </w:p>
        </w:tc>
        <w:tc>
          <w:tcPr>
            <w:tcW w:w="945" w:type="dxa"/>
            <w:tcBorders>
              <w:top w:val="nil"/>
              <w:left w:val="nil"/>
              <w:bottom w:val="nil"/>
              <w:right w:val="nil"/>
            </w:tcBorders>
            <w:shd w:val="clear" w:color="000000" w:fill="DDEBF7"/>
            <w:vAlign w:val="bottom"/>
            <w:hideMark/>
          </w:tcPr>
          <w:p w:rsidR="007A1B6F" w:rsidRPr="007A1B6F" w:rsidRDefault="007A1B6F" w:rsidP="007A1B6F">
            <w:pPr>
              <w:spacing w:after="0" w:line="240" w:lineRule="auto"/>
              <w:rPr>
                <w:rFonts w:ascii="Calibri" w:eastAsia="Times New Roman" w:hAnsi="Calibri" w:cs="Calibri"/>
                <w:b/>
                <w:bCs/>
                <w:sz w:val="18"/>
                <w:szCs w:val="18"/>
              </w:rPr>
            </w:pPr>
            <w:r w:rsidRPr="007A1B6F">
              <w:rPr>
                <w:rFonts w:ascii="Calibri" w:eastAsia="Times New Roman" w:hAnsi="Calibri" w:cs="Calibri"/>
                <w:b/>
                <w:bCs/>
                <w:sz w:val="18"/>
                <w:szCs w:val="18"/>
              </w:rPr>
              <w:t>GL</w:t>
            </w:r>
          </w:p>
        </w:tc>
        <w:tc>
          <w:tcPr>
            <w:tcW w:w="1036" w:type="dxa"/>
            <w:tcBorders>
              <w:top w:val="nil"/>
              <w:left w:val="nil"/>
              <w:bottom w:val="nil"/>
              <w:right w:val="nil"/>
            </w:tcBorders>
            <w:shd w:val="clear" w:color="000000" w:fill="DDEBF7"/>
            <w:vAlign w:val="bottom"/>
            <w:hideMark/>
          </w:tcPr>
          <w:p w:rsidR="007A1B6F" w:rsidRPr="007A1B6F" w:rsidRDefault="007A1B6F" w:rsidP="007A1B6F">
            <w:pPr>
              <w:spacing w:after="0" w:line="240" w:lineRule="auto"/>
              <w:rPr>
                <w:rFonts w:ascii="Calibri" w:eastAsia="Times New Roman" w:hAnsi="Calibri" w:cs="Calibri"/>
                <w:b/>
                <w:bCs/>
                <w:sz w:val="18"/>
                <w:szCs w:val="18"/>
              </w:rPr>
            </w:pPr>
            <w:r w:rsidRPr="007A1B6F">
              <w:rPr>
                <w:rFonts w:ascii="Calibri" w:eastAsia="Times New Roman" w:hAnsi="Calibri" w:cs="Calibri"/>
                <w:b/>
                <w:bCs/>
                <w:sz w:val="18"/>
                <w:szCs w:val="18"/>
              </w:rPr>
              <w:t>Property</w:t>
            </w:r>
          </w:p>
        </w:tc>
        <w:tc>
          <w:tcPr>
            <w:tcW w:w="800" w:type="dxa"/>
            <w:tcBorders>
              <w:top w:val="nil"/>
              <w:left w:val="nil"/>
              <w:bottom w:val="nil"/>
              <w:right w:val="nil"/>
            </w:tcBorders>
            <w:shd w:val="clear" w:color="000000" w:fill="DDEBF7"/>
            <w:vAlign w:val="bottom"/>
            <w:hideMark/>
          </w:tcPr>
          <w:p w:rsidR="007A1B6F" w:rsidRPr="007A1B6F" w:rsidRDefault="007A1B6F" w:rsidP="007A1B6F">
            <w:pPr>
              <w:spacing w:after="0" w:line="240" w:lineRule="auto"/>
              <w:rPr>
                <w:rFonts w:ascii="Calibri" w:eastAsia="Times New Roman" w:hAnsi="Calibri" w:cs="Calibri"/>
                <w:b/>
                <w:bCs/>
                <w:sz w:val="18"/>
                <w:szCs w:val="18"/>
              </w:rPr>
            </w:pPr>
            <w:r w:rsidRPr="007A1B6F">
              <w:rPr>
                <w:rFonts w:ascii="Calibri" w:eastAsia="Times New Roman" w:hAnsi="Calibri" w:cs="Calibri"/>
                <w:b/>
                <w:bCs/>
                <w:sz w:val="18"/>
                <w:szCs w:val="18"/>
              </w:rPr>
              <w:t>Inland Marine</w:t>
            </w:r>
          </w:p>
        </w:tc>
        <w:tc>
          <w:tcPr>
            <w:tcW w:w="718" w:type="dxa"/>
            <w:tcBorders>
              <w:top w:val="nil"/>
              <w:left w:val="nil"/>
              <w:bottom w:val="nil"/>
              <w:right w:val="nil"/>
            </w:tcBorders>
            <w:shd w:val="clear" w:color="000000" w:fill="DDEBF7"/>
            <w:vAlign w:val="bottom"/>
            <w:hideMark/>
          </w:tcPr>
          <w:p w:rsidR="007A1B6F" w:rsidRPr="007A1B6F" w:rsidRDefault="007A1B6F" w:rsidP="007A1B6F">
            <w:pPr>
              <w:spacing w:after="0" w:line="240" w:lineRule="auto"/>
              <w:rPr>
                <w:rFonts w:ascii="Calibri" w:eastAsia="Times New Roman" w:hAnsi="Calibri" w:cs="Calibri"/>
                <w:b/>
                <w:bCs/>
                <w:sz w:val="18"/>
                <w:szCs w:val="18"/>
              </w:rPr>
            </w:pPr>
            <w:r w:rsidRPr="007A1B6F">
              <w:rPr>
                <w:rFonts w:ascii="Calibri" w:eastAsia="Times New Roman" w:hAnsi="Calibri" w:cs="Calibri"/>
                <w:b/>
                <w:bCs/>
                <w:sz w:val="18"/>
                <w:szCs w:val="18"/>
              </w:rPr>
              <w:t>Crime</w:t>
            </w:r>
          </w:p>
        </w:tc>
        <w:tc>
          <w:tcPr>
            <w:tcW w:w="945" w:type="dxa"/>
            <w:tcBorders>
              <w:top w:val="nil"/>
              <w:left w:val="nil"/>
              <w:bottom w:val="nil"/>
              <w:right w:val="nil"/>
            </w:tcBorders>
            <w:shd w:val="clear" w:color="000000" w:fill="DDEBF7"/>
            <w:vAlign w:val="bottom"/>
            <w:hideMark/>
          </w:tcPr>
          <w:p w:rsidR="007A1B6F" w:rsidRPr="007A1B6F" w:rsidRDefault="007A1B6F" w:rsidP="007A1B6F">
            <w:pPr>
              <w:spacing w:after="0" w:line="240" w:lineRule="auto"/>
              <w:rPr>
                <w:rFonts w:ascii="Calibri" w:eastAsia="Times New Roman" w:hAnsi="Calibri" w:cs="Calibri"/>
                <w:b/>
                <w:bCs/>
                <w:sz w:val="18"/>
                <w:szCs w:val="18"/>
              </w:rPr>
            </w:pPr>
            <w:r w:rsidRPr="007A1B6F">
              <w:rPr>
                <w:rFonts w:ascii="Calibri" w:eastAsia="Times New Roman" w:hAnsi="Calibri" w:cs="Calibri"/>
                <w:b/>
                <w:bCs/>
                <w:sz w:val="18"/>
                <w:szCs w:val="18"/>
              </w:rPr>
              <w:t>Excess Liability</w:t>
            </w:r>
          </w:p>
        </w:tc>
        <w:tc>
          <w:tcPr>
            <w:tcW w:w="947" w:type="dxa"/>
            <w:tcBorders>
              <w:top w:val="nil"/>
              <w:left w:val="nil"/>
              <w:bottom w:val="nil"/>
              <w:right w:val="nil"/>
            </w:tcBorders>
            <w:shd w:val="clear" w:color="000000" w:fill="DDEBF7"/>
            <w:vAlign w:val="bottom"/>
            <w:hideMark/>
          </w:tcPr>
          <w:p w:rsidR="007A1B6F" w:rsidRPr="007A1B6F" w:rsidRDefault="007A1B6F" w:rsidP="007A1B6F">
            <w:pPr>
              <w:spacing w:after="0" w:line="240" w:lineRule="auto"/>
              <w:rPr>
                <w:rFonts w:ascii="Calibri" w:eastAsia="Times New Roman" w:hAnsi="Calibri" w:cs="Calibri"/>
                <w:b/>
                <w:bCs/>
                <w:sz w:val="18"/>
                <w:szCs w:val="18"/>
              </w:rPr>
            </w:pPr>
            <w:r w:rsidRPr="007A1B6F">
              <w:rPr>
                <w:rFonts w:ascii="Calibri" w:eastAsia="Times New Roman" w:hAnsi="Calibri" w:cs="Calibri"/>
                <w:b/>
                <w:bCs/>
                <w:sz w:val="18"/>
                <w:szCs w:val="18"/>
              </w:rPr>
              <w:t>Terrorism</w:t>
            </w:r>
          </w:p>
        </w:tc>
        <w:tc>
          <w:tcPr>
            <w:tcW w:w="1036" w:type="dxa"/>
            <w:tcBorders>
              <w:top w:val="nil"/>
              <w:left w:val="single" w:sz="4" w:space="0" w:color="auto"/>
              <w:bottom w:val="nil"/>
              <w:right w:val="nil"/>
            </w:tcBorders>
            <w:shd w:val="clear" w:color="000000" w:fill="DDEBF7"/>
            <w:vAlign w:val="bottom"/>
            <w:hideMark/>
          </w:tcPr>
          <w:p w:rsidR="007A1B6F" w:rsidRPr="007A1B6F" w:rsidRDefault="007A1B6F" w:rsidP="007A1B6F">
            <w:pPr>
              <w:spacing w:after="0" w:line="240" w:lineRule="auto"/>
              <w:rPr>
                <w:rFonts w:ascii="Calibri" w:eastAsia="Times New Roman" w:hAnsi="Calibri" w:cs="Calibri"/>
                <w:b/>
                <w:bCs/>
                <w:sz w:val="18"/>
                <w:szCs w:val="18"/>
              </w:rPr>
            </w:pPr>
            <w:r w:rsidRPr="007A1B6F">
              <w:rPr>
                <w:rFonts w:ascii="Calibri" w:eastAsia="Times New Roman" w:hAnsi="Calibri" w:cs="Calibri"/>
                <w:b/>
                <w:bCs/>
                <w:sz w:val="18"/>
                <w:szCs w:val="18"/>
              </w:rPr>
              <w:t>TOTAL</w:t>
            </w:r>
          </w:p>
        </w:tc>
      </w:tr>
      <w:tr w:rsidR="007A1B6F" w:rsidRPr="007A1B6F" w:rsidTr="007A1B6F">
        <w:trPr>
          <w:trHeight w:val="288"/>
        </w:trPr>
        <w:tc>
          <w:tcPr>
            <w:tcW w:w="2380" w:type="dxa"/>
            <w:gridSpan w:val="2"/>
            <w:tcBorders>
              <w:top w:val="nil"/>
              <w:left w:val="nil"/>
              <w:bottom w:val="nil"/>
              <w:right w:val="nil"/>
            </w:tcBorders>
            <w:shd w:val="clear" w:color="000000" w:fill="E2EFDA"/>
            <w:noWrap/>
            <w:vAlign w:val="bottom"/>
            <w:hideMark/>
          </w:tcPr>
          <w:p w:rsidR="007A1B6F" w:rsidRPr="007A1B6F" w:rsidRDefault="007A1B6F" w:rsidP="007A1B6F">
            <w:pPr>
              <w:spacing w:after="0" w:line="240" w:lineRule="auto"/>
              <w:rPr>
                <w:rFonts w:ascii="Calibri" w:eastAsia="Times New Roman" w:hAnsi="Calibri" w:cs="Calibri"/>
                <w:b/>
                <w:bCs/>
                <w:color w:val="000000"/>
                <w:sz w:val="18"/>
                <w:szCs w:val="18"/>
              </w:rPr>
            </w:pPr>
            <w:r w:rsidRPr="007A1B6F">
              <w:rPr>
                <w:rFonts w:ascii="Calibri" w:eastAsia="Times New Roman" w:hAnsi="Calibri" w:cs="Calibri"/>
                <w:b/>
                <w:bCs/>
                <w:color w:val="000000"/>
                <w:sz w:val="18"/>
                <w:szCs w:val="18"/>
              </w:rPr>
              <w:t>Admitted Programs</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b/>
                <w:bCs/>
                <w:color w:val="000000"/>
                <w:sz w:val="18"/>
                <w:szCs w:val="18"/>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 </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color w:val="000000"/>
                <w:sz w:val="18"/>
                <w:szCs w:val="18"/>
              </w:rPr>
            </w:pPr>
            <w:r w:rsidRPr="007A1B6F">
              <w:rPr>
                <w:rFonts w:ascii="Calibri" w:eastAsia="Times New Roman" w:hAnsi="Calibri" w:cs="Calibri"/>
                <w:color w:val="000000"/>
                <w:sz w:val="18"/>
                <w:szCs w:val="18"/>
              </w:rPr>
              <w:t xml:space="preserve">Oil </w:t>
            </w:r>
            <w:r w:rsidR="007E15A2">
              <w:rPr>
                <w:rFonts w:ascii="Calibri" w:eastAsia="Times New Roman" w:hAnsi="Calibri" w:cs="Calibri"/>
                <w:color w:val="000000"/>
                <w:sz w:val="18"/>
                <w:szCs w:val="18"/>
              </w:rPr>
              <w:t xml:space="preserve">&amp; </w:t>
            </w:r>
            <w:r w:rsidRPr="007A1B6F">
              <w:rPr>
                <w:rFonts w:ascii="Calibri" w:eastAsia="Times New Roman" w:hAnsi="Calibri" w:cs="Calibri"/>
                <w:color w:val="000000"/>
                <w:sz w:val="18"/>
                <w:szCs w:val="18"/>
              </w:rPr>
              <w:t>Gas</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3,330,829</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1,081,526</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732,499</w:t>
            </w: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322,647</w:t>
            </w: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81,725</w:t>
            </w: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11,031</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8,646</w:t>
            </w: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5,568,903</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color w:val="000000"/>
                <w:sz w:val="18"/>
                <w:szCs w:val="18"/>
              </w:rPr>
            </w:pPr>
            <w:r w:rsidRPr="007A1B6F">
              <w:rPr>
                <w:rFonts w:ascii="Calibri" w:eastAsia="Times New Roman" w:hAnsi="Calibri" w:cs="Calibri"/>
                <w:color w:val="000000"/>
                <w:sz w:val="18"/>
                <w:szCs w:val="18"/>
              </w:rPr>
              <w:t>Auto Dealers</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201,582</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36,007</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1,388</w:t>
            </w: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61,745</w:t>
            </w: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9,749</w:t>
            </w: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8,727</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77,046</w:t>
            </w: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928</w:t>
            </w: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397,172</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color w:val="000000"/>
                <w:sz w:val="18"/>
                <w:szCs w:val="18"/>
              </w:rPr>
            </w:pPr>
            <w:r w:rsidRPr="007A1B6F">
              <w:rPr>
                <w:rFonts w:ascii="Calibri" w:eastAsia="Times New Roman" w:hAnsi="Calibri" w:cs="Calibri"/>
                <w:color w:val="000000"/>
                <w:sz w:val="18"/>
                <w:szCs w:val="18"/>
              </w:rPr>
              <w:t xml:space="preserve">Auto </w:t>
            </w:r>
            <w:proofErr w:type="spellStart"/>
            <w:r w:rsidRPr="007A1B6F">
              <w:rPr>
                <w:rFonts w:ascii="Calibri" w:eastAsia="Times New Roman" w:hAnsi="Calibri" w:cs="Calibri"/>
                <w:color w:val="000000"/>
                <w:sz w:val="18"/>
                <w:szCs w:val="18"/>
              </w:rPr>
              <w:t>Repo</w:t>
            </w:r>
            <w:r w:rsidR="007E15A2">
              <w:rPr>
                <w:rFonts w:ascii="Calibri" w:eastAsia="Times New Roman" w:hAnsi="Calibri" w:cs="Calibri"/>
                <w:color w:val="000000"/>
                <w:sz w:val="18"/>
                <w:szCs w:val="18"/>
              </w:rPr>
              <w:t>ssesion</w:t>
            </w:r>
            <w:proofErr w:type="spellEnd"/>
          </w:p>
        </w:tc>
        <w:tc>
          <w:tcPr>
            <w:tcW w:w="945"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213,762</w:t>
            </w:r>
          </w:p>
        </w:tc>
        <w:tc>
          <w:tcPr>
            <w:tcW w:w="945"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46,981</w:t>
            </w:r>
          </w:p>
        </w:tc>
        <w:tc>
          <w:tcPr>
            <w:tcW w:w="945"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800"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5,248</w:t>
            </w:r>
          </w:p>
        </w:tc>
        <w:tc>
          <w:tcPr>
            <w:tcW w:w="718"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7"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16</w:t>
            </w:r>
          </w:p>
        </w:tc>
        <w:tc>
          <w:tcPr>
            <w:tcW w:w="1036" w:type="dxa"/>
            <w:tcBorders>
              <w:top w:val="nil"/>
              <w:left w:val="single" w:sz="4" w:space="0" w:color="auto"/>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266,007</w:t>
            </w:r>
          </w:p>
        </w:tc>
      </w:tr>
      <w:tr w:rsidR="007A1B6F" w:rsidRPr="007A1B6F" w:rsidTr="007A1B6F">
        <w:trPr>
          <w:trHeight w:val="288"/>
        </w:trPr>
        <w:tc>
          <w:tcPr>
            <w:tcW w:w="2380" w:type="dxa"/>
            <w:gridSpan w:val="2"/>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b/>
                <w:bCs/>
                <w:color w:val="000000"/>
                <w:sz w:val="18"/>
                <w:szCs w:val="18"/>
              </w:rPr>
            </w:pPr>
            <w:r w:rsidRPr="007A1B6F">
              <w:rPr>
                <w:rFonts w:ascii="Calibri" w:eastAsia="Times New Roman" w:hAnsi="Calibri" w:cs="Calibri"/>
                <w:b/>
                <w:bCs/>
                <w:color w:val="000000"/>
                <w:sz w:val="18"/>
                <w:szCs w:val="18"/>
              </w:rPr>
              <w:t>TOTAL</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3,746,173</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1,164,514</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733,887</w:t>
            </w: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384,392</w:t>
            </w: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96,722</w:t>
            </w: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19,758</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77,046</w:t>
            </w: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9,590</w:t>
            </w: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6,232,082</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r>
      <w:tr w:rsidR="007A1B6F" w:rsidRPr="007A1B6F" w:rsidTr="007A1B6F">
        <w:trPr>
          <w:trHeight w:val="288"/>
        </w:trPr>
        <w:tc>
          <w:tcPr>
            <w:tcW w:w="2380" w:type="dxa"/>
            <w:gridSpan w:val="2"/>
            <w:tcBorders>
              <w:top w:val="nil"/>
              <w:left w:val="nil"/>
              <w:bottom w:val="nil"/>
              <w:right w:val="nil"/>
            </w:tcBorders>
            <w:shd w:val="clear" w:color="000000" w:fill="E2EFDA"/>
            <w:noWrap/>
            <w:vAlign w:val="bottom"/>
            <w:hideMark/>
          </w:tcPr>
          <w:p w:rsidR="007A1B6F" w:rsidRPr="007A1B6F" w:rsidRDefault="007A1B6F" w:rsidP="007A1B6F">
            <w:pPr>
              <w:spacing w:after="0" w:line="240" w:lineRule="auto"/>
              <w:rPr>
                <w:rFonts w:ascii="Calibri" w:eastAsia="Times New Roman" w:hAnsi="Calibri" w:cs="Calibri"/>
                <w:b/>
                <w:bCs/>
                <w:color w:val="000000"/>
                <w:sz w:val="18"/>
                <w:szCs w:val="18"/>
              </w:rPr>
            </w:pPr>
            <w:r w:rsidRPr="007A1B6F">
              <w:rPr>
                <w:rFonts w:ascii="Calibri" w:eastAsia="Times New Roman" w:hAnsi="Calibri" w:cs="Calibri"/>
                <w:b/>
                <w:bCs/>
                <w:color w:val="000000"/>
                <w:sz w:val="18"/>
                <w:szCs w:val="18"/>
              </w:rPr>
              <w:t>Non-Admitted Programs</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b/>
                <w:bCs/>
                <w:color w:val="000000"/>
                <w:sz w:val="18"/>
                <w:szCs w:val="18"/>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2158" w:type="dxa"/>
            <w:tcBorders>
              <w:top w:val="nil"/>
              <w:left w:val="nil"/>
              <w:bottom w:val="nil"/>
              <w:right w:val="nil"/>
            </w:tcBorders>
            <w:shd w:val="clear" w:color="auto" w:fill="auto"/>
            <w:noWrap/>
            <w:vAlign w:val="bottom"/>
            <w:hideMark/>
          </w:tcPr>
          <w:p w:rsidR="007A1B6F" w:rsidRPr="007A1B6F" w:rsidRDefault="007E15A2" w:rsidP="007A1B6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Oil &amp; Gas </w:t>
            </w:r>
            <w:r w:rsidR="007A1B6F" w:rsidRPr="007A1B6F">
              <w:rPr>
                <w:rFonts w:ascii="Calibri" w:eastAsia="Times New Roman" w:hAnsi="Calibri" w:cs="Calibri"/>
                <w:color w:val="000000"/>
                <w:sz w:val="18"/>
                <w:szCs w:val="18"/>
              </w:rPr>
              <w:t>Excess</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13,395</w:t>
            </w: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13,395</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color w:val="000000"/>
                <w:sz w:val="18"/>
                <w:szCs w:val="18"/>
              </w:rPr>
            </w:pPr>
            <w:r w:rsidRPr="007A1B6F">
              <w:rPr>
                <w:rFonts w:ascii="Calibri" w:eastAsia="Times New Roman" w:hAnsi="Calibri" w:cs="Calibri"/>
                <w:color w:val="000000"/>
                <w:sz w:val="18"/>
                <w:szCs w:val="18"/>
              </w:rPr>
              <w:t>Environmental</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909,959</w:t>
            </w: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201,823</w:t>
            </w: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1,111,782</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color w:val="000000"/>
                <w:sz w:val="18"/>
                <w:szCs w:val="18"/>
              </w:rPr>
            </w:pPr>
            <w:r w:rsidRPr="007A1B6F">
              <w:rPr>
                <w:rFonts w:ascii="Calibri" w:eastAsia="Times New Roman" w:hAnsi="Calibri" w:cs="Calibri"/>
                <w:color w:val="000000"/>
                <w:sz w:val="18"/>
                <w:szCs w:val="18"/>
              </w:rPr>
              <w:t>Excess</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9,077,411</w:t>
            </w: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9,077,411</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nil"/>
              <w:right w:val="nil"/>
            </w:tcBorders>
            <w:shd w:val="clear" w:color="auto" w:fill="auto"/>
            <w:noWrap/>
            <w:vAlign w:val="bottom"/>
            <w:hideMark/>
          </w:tcPr>
          <w:p w:rsidR="007A1B6F" w:rsidRPr="007A1B6F" w:rsidRDefault="007E15A2" w:rsidP="007A1B6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Earthquake</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14,017,373</w:t>
            </w: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14,017,373</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color w:val="000000"/>
                <w:sz w:val="18"/>
                <w:szCs w:val="18"/>
              </w:rPr>
            </w:pPr>
            <w:r w:rsidRPr="007A1B6F">
              <w:rPr>
                <w:rFonts w:ascii="Calibri" w:eastAsia="Times New Roman" w:hAnsi="Calibri" w:cs="Calibri"/>
                <w:color w:val="000000"/>
                <w:sz w:val="18"/>
                <w:szCs w:val="18"/>
              </w:rPr>
              <w:t>Wind</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single" w:sz="4" w:space="0" w:color="auto"/>
              <w:right w:val="nil"/>
            </w:tcBorders>
            <w:shd w:val="clear" w:color="auto" w:fill="auto"/>
            <w:noWrap/>
            <w:vAlign w:val="bottom"/>
            <w:hideMark/>
          </w:tcPr>
          <w:p w:rsidR="007A1B6F" w:rsidRPr="007A1B6F" w:rsidRDefault="007E15A2" w:rsidP="007A1B6F">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Small </w:t>
            </w:r>
            <w:r w:rsidR="007A1B6F" w:rsidRPr="007A1B6F">
              <w:rPr>
                <w:rFonts w:ascii="Calibri" w:eastAsia="Times New Roman" w:hAnsi="Calibri" w:cs="Calibri"/>
                <w:color w:val="000000"/>
                <w:sz w:val="18"/>
                <w:szCs w:val="18"/>
              </w:rPr>
              <w:t>Commercial</w:t>
            </w:r>
          </w:p>
        </w:tc>
        <w:tc>
          <w:tcPr>
            <w:tcW w:w="945"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800"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718"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7" w:type="dxa"/>
            <w:tcBorders>
              <w:top w:val="nil"/>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single" w:sz="4" w:space="0" w:color="auto"/>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r>
      <w:tr w:rsidR="007A1B6F" w:rsidRPr="007A1B6F" w:rsidTr="007A1B6F">
        <w:trPr>
          <w:trHeight w:val="288"/>
        </w:trPr>
        <w:tc>
          <w:tcPr>
            <w:tcW w:w="2380" w:type="dxa"/>
            <w:gridSpan w:val="2"/>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b/>
                <w:bCs/>
                <w:color w:val="000000"/>
                <w:sz w:val="18"/>
                <w:szCs w:val="18"/>
              </w:rPr>
            </w:pPr>
            <w:r w:rsidRPr="007A1B6F">
              <w:rPr>
                <w:rFonts w:ascii="Calibri" w:eastAsia="Times New Roman" w:hAnsi="Calibri" w:cs="Calibri"/>
                <w:b/>
                <w:bCs/>
                <w:color w:val="000000"/>
                <w:sz w:val="18"/>
                <w:szCs w:val="18"/>
              </w:rPr>
              <w:t>TOTAL</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909,959</w:t>
            </w: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14,017,373</w:t>
            </w: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9,292,629</w:t>
            </w: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0</w:t>
            </w:r>
          </w:p>
        </w:tc>
        <w:tc>
          <w:tcPr>
            <w:tcW w:w="1036" w:type="dxa"/>
            <w:tcBorders>
              <w:top w:val="nil"/>
              <w:left w:val="single" w:sz="4" w:space="0" w:color="auto"/>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24,219,961</w:t>
            </w:r>
          </w:p>
        </w:tc>
      </w:tr>
      <w:tr w:rsidR="007A1B6F" w:rsidRPr="007A1B6F" w:rsidTr="007A1B6F">
        <w:trPr>
          <w:trHeight w:val="288"/>
        </w:trPr>
        <w:tc>
          <w:tcPr>
            <w:tcW w:w="222"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p>
        </w:tc>
        <w:tc>
          <w:tcPr>
            <w:tcW w:w="215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5"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947"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shd w:val="clear" w:color="auto" w:fill="auto"/>
            <w:noWrap/>
            <w:vAlign w:val="bottom"/>
            <w:hideMark/>
          </w:tcPr>
          <w:p w:rsidR="007A1B6F" w:rsidRPr="007A1B6F" w:rsidRDefault="007A1B6F" w:rsidP="007A1B6F">
            <w:pPr>
              <w:spacing w:after="0" w:line="240" w:lineRule="auto"/>
              <w:rPr>
                <w:rFonts w:ascii="Times New Roman" w:eastAsia="Times New Roman" w:hAnsi="Times New Roman" w:cs="Times New Roman"/>
                <w:sz w:val="20"/>
                <w:szCs w:val="20"/>
              </w:rPr>
            </w:pPr>
          </w:p>
        </w:tc>
      </w:tr>
      <w:tr w:rsidR="007A1B6F" w:rsidRPr="007A1B6F" w:rsidTr="007A1B6F">
        <w:trPr>
          <w:trHeight w:val="288"/>
        </w:trPr>
        <w:tc>
          <w:tcPr>
            <w:tcW w:w="23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b/>
                <w:bCs/>
                <w:color w:val="000000"/>
                <w:sz w:val="18"/>
                <w:szCs w:val="18"/>
              </w:rPr>
            </w:pPr>
            <w:r w:rsidRPr="007A1B6F">
              <w:rPr>
                <w:rFonts w:ascii="Calibri" w:eastAsia="Times New Roman" w:hAnsi="Calibri" w:cs="Calibri"/>
                <w:b/>
                <w:bCs/>
                <w:color w:val="000000"/>
                <w:sz w:val="18"/>
                <w:szCs w:val="18"/>
              </w:rPr>
              <w:t>TOTAL</w:t>
            </w:r>
          </w:p>
        </w:tc>
        <w:tc>
          <w:tcPr>
            <w:tcW w:w="945" w:type="dxa"/>
            <w:tcBorders>
              <w:top w:val="single" w:sz="4" w:space="0" w:color="auto"/>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3,746,173</w:t>
            </w:r>
          </w:p>
        </w:tc>
        <w:tc>
          <w:tcPr>
            <w:tcW w:w="945" w:type="dxa"/>
            <w:tcBorders>
              <w:top w:val="single" w:sz="4" w:space="0" w:color="auto"/>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1,164,514</w:t>
            </w:r>
          </w:p>
        </w:tc>
        <w:tc>
          <w:tcPr>
            <w:tcW w:w="945" w:type="dxa"/>
            <w:tcBorders>
              <w:top w:val="single" w:sz="4" w:space="0" w:color="auto"/>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1,643,846</w:t>
            </w:r>
          </w:p>
        </w:tc>
        <w:tc>
          <w:tcPr>
            <w:tcW w:w="1036" w:type="dxa"/>
            <w:tcBorders>
              <w:top w:val="single" w:sz="4" w:space="0" w:color="auto"/>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14,401,765</w:t>
            </w:r>
          </w:p>
        </w:tc>
        <w:tc>
          <w:tcPr>
            <w:tcW w:w="800" w:type="dxa"/>
            <w:tcBorders>
              <w:top w:val="single" w:sz="4" w:space="0" w:color="auto"/>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96,722</w:t>
            </w:r>
          </w:p>
        </w:tc>
        <w:tc>
          <w:tcPr>
            <w:tcW w:w="718" w:type="dxa"/>
            <w:tcBorders>
              <w:top w:val="single" w:sz="4" w:space="0" w:color="auto"/>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19,758</w:t>
            </w:r>
          </w:p>
        </w:tc>
        <w:tc>
          <w:tcPr>
            <w:tcW w:w="945" w:type="dxa"/>
            <w:tcBorders>
              <w:top w:val="single" w:sz="4" w:space="0" w:color="auto"/>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9,369,675</w:t>
            </w:r>
          </w:p>
        </w:tc>
        <w:tc>
          <w:tcPr>
            <w:tcW w:w="947" w:type="dxa"/>
            <w:tcBorders>
              <w:top w:val="single" w:sz="4" w:space="0" w:color="auto"/>
              <w:left w:val="nil"/>
              <w:bottom w:val="single" w:sz="4" w:space="0" w:color="auto"/>
              <w:right w:val="nil"/>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9,590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B6F" w:rsidRPr="007A1B6F" w:rsidRDefault="007A1B6F" w:rsidP="007A1B6F">
            <w:pPr>
              <w:spacing w:after="0" w:line="240" w:lineRule="auto"/>
              <w:rPr>
                <w:rFonts w:ascii="Calibri" w:eastAsia="Times New Roman" w:hAnsi="Calibri" w:cs="Calibri"/>
                <w:sz w:val="18"/>
                <w:szCs w:val="18"/>
              </w:rPr>
            </w:pPr>
            <w:r w:rsidRPr="007A1B6F">
              <w:rPr>
                <w:rFonts w:ascii="Calibri" w:eastAsia="Times New Roman" w:hAnsi="Calibri" w:cs="Calibri"/>
                <w:sz w:val="18"/>
                <w:szCs w:val="18"/>
              </w:rPr>
              <w:t>30,452,043</w:t>
            </w:r>
          </w:p>
        </w:tc>
      </w:tr>
    </w:tbl>
    <w:p w:rsidR="00B00EAA" w:rsidRDefault="00B00EAA" w:rsidP="005A64D9">
      <w:pPr>
        <w:spacing w:after="0" w:line="240" w:lineRule="auto"/>
        <w:rPr>
          <w:rFonts w:ascii="Arial" w:hAnsi="Arial" w:cs="Arial"/>
          <w:sz w:val="20"/>
          <w:szCs w:val="20"/>
          <w:u w:val="single"/>
        </w:rPr>
      </w:pPr>
    </w:p>
    <w:p w:rsidR="00B00EAA" w:rsidRDefault="00B00EAA" w:rsidP="005A64D9">
      <w:pPr>
        <w:spacing w:after="0" w:line="240" w:lineRule="auto"/>
        <w:rPr>
          <w:rFonts w:ascii="Arial" w:hAnsi="Arial" w:cs="Arial"/>
          <w:sz w:val="20"/>
          <w:szCs w:val="20"/>
          <w:u w:val="single"/>
        </w:rPr>
      </w:pPr>
    </w:p>
    <w:p w:rsidR="00E24FD5" w:rsidRDefault="00E24FD5" w:rsidP="005A64D9">
      <w:pPr>
        <w:spacing w:after="0" w:line="240" w:lineRule="auto"/>
        <w:rPr>
          <w:rFonts w:ascii="Arial" w:hAnsi="Arial" w:cs="Arial"/>
          <w:sz w:val="20"/>
          <w:szCs w:val="20"/>
          <w:u w:val="single"/>
        </w:rPr>
      </w:pPr>
    </w:p>
    <w:p w:rsidR="00E24FD5" w:rsidRDefault="00E24FD5" w:rsidP="005A64D9">
      <w:pPr>
        <w:spacing w:after="0" w:line="240" w:lineRule="auto"/>
        <w:rPr>
          <w:rFonts w:ascii="Arial" w:hAnsi="Arial" w:cs="Arial"/>
          <w:sz w:val="20"/>
          <w:szCs w:val="20"/>
          <w:u w:val="single"/>
        </w:rPr>
      </w:pPr>
    </w:p>
    <w:p w:rsidR="00E24FD5" w:rsidRDefault="00E24FD5" w:rsidP="005A64D9">
      <w:pPr>
        <w:spacing w:after="0" w:line="240" w:lineRule="auto"/>
        <w:rPr>
          <w:rFonts w:ascii="Arial" w:hAnsi="Arial" w:cs="Arial"/>
          <w:sz w:val="20"/>
          <w:szCs w:val="20"/>
          <w:u w:val="single"/>
        </w:rPr>
      </w:pPr>
    </w:p>
    <w:p w:rsidR="007E15A2" w:rsidRDefault="007E15A2" w:rsidP="005A64D9">
      <w:pPr>
        <w:spacing w:after="0" w:line="240" w:lineRule="auto"/>
        <w:rPr>
          <w:rFonts w:ascii="Arial" w:hAnsi="Arial" w:cs="Arial"/>
          <w:sz w:val="20"/>
          <w:szCs w:val="20"/>
          <w:u w:val="single"/>
        </w:rPr>
      </w:pPr>
    </w:p>
    <w:p w:rsidR="007E15A2" w:rsidRDefault="007E15A2" w:rsidP="005A64D9">
      <w:pPr>
        <w:spacing w:after="0" w:line="240" w:lineRule="auto"/>
        <w:rPr>
          <w:rFonts w:ascii="Arial" w:hAnsi="Arial" w:cs="Arial"/>
          <w:sz w:val="20"/>
          <w:szCs w:val="20"/>
          <w:u w:val="single"/>
        </w:rPr>
      </w:pPr>
      <w:r w:rsidRPr="007E15A2">
        <w:rPr>
          <w:rFonts w:ascii="Arial" w:hAnsi="Arial" w:cs="Arial"/>
          <w:sz w:val="20"/>
          <w:szCs w:val="20"/>
          <w:u w:val="single"/>
        </w:rPr>
        <w:lastRenderedPageBreak/>
        <w:t>Non-Admitted – Specialty</w:t>
      </w:r>
    </w:p>
    <w:p w:rsidR="007E15A2" w:rsidRPr="007E15A2" w:rsidRDefault="007E15A2" w:rsidP="005A64D9">
      <w:pPr>
        <w:spacing w:after="0" w:line="240" w:lineRule="auto"/>
        <w:rPr>
          <w:rFonts w:ascii="Arial" w:hAnsi="Arial" w:cs="Arial"/>
          <w:sz w:val="20"/>
          <w:szCs w:val="20"/>
          <w:u w:val="single"/>
        </w:rPr>
      </w:pPr>
    </w:p>
    <w:p w:rsidR="007E15A2" w:rsidRDefault="007E15A2" w:rsidP="005A64D9">
      <w:pPr>
        <w:spacing w:after="0" w:line="240" w:lineRule="auto"/>
        <w:rPr>
          <w:rFonts w:ascii="Arial" w:hAnsi="Arial" w:cs="Arial"/>
          <w:sz w:val="20"/>
          <w:szCs w:val="20"/>
        </w:rPr>
      </w:pPr>
    </w:p>
    <w:tbl>
      <w:tblPr>
        <w:tblW w:w="2220" w:type="dxa"/>
        <w:tblLook w:val="04A0" w:firstRow="1" w:lastRow="0" w:firstColumn="1" w:lastColumn="0" w:noHBand="0" w:noVBand="1"/>
      </w:tblPr>
      <w:tblGrid>
        <w:gridCol w:w="1015"/>
        <w:gridCol w:w="1260"/>
      </w:tblGrid>
      <w:tr w:rsidR="007E15A2" w:rsidRPr="007E15A2" w:rsidTr="007E15A2">
        <w:trPr>
          <w:trHeight w:val="288"/>
        </w:trPr>
        <w:tc>
          <w:tcPr>
            <w:tcW w:w="960" w:type="dxa"/>
            <w:tcBorders>
              <w:top w:val="nil"/>
              <w:left w:val="nil"/>
              <w:bottom w:val="nil"/>
              <w:right w:val="nil"/>
            </w:tcBorders>
            <w:shd w:val="clear" w:color="auto" w:fill="auto"/>
            <w:noWrap/>
            <w:vAlign w:val="bottom"/>
            <w:hideMark/>
          </w:tcPr>
          <w:p w:rsidR="007E15A2" w:rsidRPr="007E15A2" w:rsidRDefault="007E15A2" w:rsidP="007E15A2">
            <w:pPr>
              <w:spacing w:after="0" w:line="240" w:lineRule="auto"/>
              <w:rPr>
                <w:rFonts w:ascii="Times New Roman" w:eastAsia="Times New Roman" w:hAnsi="Times New Roman" w:cs="Times New Roman"/>
                <w:sz w:val="24"/>
                <w:szCs w:val="24"/>
              </w:rPr>
            </w:pPr>
          </w:p>
        </w:tc>
        <w:tc>
          <w:tcPr>
            <w:tcW w:w="1260" w:type="dxa"/>
            <w:tcBorders>
              <w:top w:val="nil"/>
              <w:left w:val="nil"/>
              <w:bottom w:val="nil"/>
              <w:right w:val="nil"/>
            </w:tcBorders>
            <w:shd w:val="clear" w:color="000000" w:fill="BDD7EE"/>
            <w:noWrap/>
            <w:vAlign w:val="bottom"/>
            <w:hideMark/>
          </w:tcPr>
          <w:p w:rsidR="007E15A2" w:rsidRPr="007E15A2" w:rsidRDefault="007E15A2" w:rsidP="007E15A2">
            <w:pPr>
              <w:spacing w:after="0" w:line="240" w:lineRule="auto"/>
              <w:rPr>
                <w:rFonts w:ascii="Calibri" w:eastAsia="Times New Roman" w:hAnsi="Calibri" w:cs="Calibri"/>
                <w:color w:val="000000"/>
              </w:rPr>
            </w:pPr>
            <w:r w:rsidRPr="007E15A2">
              <w:rPr>
                <w:rFonts w:ascii="Calibri" w:eastAsia="Times New Roman" w:hAnsi="Calibri" w:cs="Calibri"/>
                <w:color w:val="000000"/>
              </w:rPr>
              <w:t>Property</w:t>
            </w:r>
          </w:p>
        </w:tc>
      </w:tr>
      <w:tr w:rsidR="007E15A2" w:rsidRPr="007E15A2" w:rsidTr="007E15A2">
        <w:trPr>
          <w:trHeight w:val="288"/>
        </w:trPr>
        <w:tc>
          <w:tcPr>
            <w:tcW w:w="960" w:type="dxa"/>
            <w:tcBorders>
              <w:top w:val="single" w:sz="4" w:space="0" w:color="D0CECE"/>
              <w:left w:val="single" w:sz="4" w:space="0" w:color="D0CECE"/>
              <w:bottom w:val="single" w:sz="4" w:space="0" w:color="D0CECE"/>
              <w:right w:val="single" w:sz="4" w:space="0" w:color="D0CECE"/>
            </w:tcBorders>
            <w:shd w:val="clear" w:color="auto" w:fill="auto"/>
            <w:noWrap/>
            <w:vAlign w:val="bottom"/>
            <w:hideMark/>
          </w:tcPr>
          <w:p w:rsidR="007E15A2" w:rsidRPr="007E15A2" w:rsidRDefault="007E15A2" w:rsidP="007E15A2">
            <w:pPr>
              <w:spacing w:after="0" w:line="240" w:lineRule="auto"/>
              <w:rPr>
                <w:rFonts w:ascii="Calibri" w:eastAsia="Times New Roman" w:hAnsi="Calibri" w:cs="Calibri"/>
                <w:color w:val="000000"/>
              </w:rPr>
            </w:pPr>
            <w:r w:rsidRPr="007E15A2">
              <w:rPr>
                <w:rFonts w:ascii="Calibri" w:eastAsia="Times New Roman" w:hAnsi="Calibri" w:cs="Calibri"/>
                <w:color w:val="000000"/>
              </w:rPr>
              <w:t>Specialty</w:t>
            </w:r>
          </w:p>
        </w:tc>
        <w:tc>
          <w:tcPr>
            <w:tcW w:w="1260" w:type="dxa"/>
            <w:tcBorders>
              <w:top w:val="single" w:sz="4" w:space="0" w:color="D0CECE"/>
              <w:left w:val="nil"/>
              <w:bottom w:val="single" w:sz="4" w:space="0" w:color="D0CECE"/>
              <w:right w:val="single" w:sz="4" w:space="0" w:color="D0CECE"/>
            </w:tcBorders>
            <w:shd w:val="clear" w:color="auto" w:fill="auto"/>
            <w:noWrap/>
            <w:vAlign w:val="bottom"/>
            <w:hideMark/>
          </w:tcPr>
          <w:p w:rsidR="007E15A2" w:rsidRPr="007E15A2" w:rsidRDefault="007E15A2" w:rsidP="007E15A2">
            <w:pPr>
              <w:spacing w:after="0" w:line="240" w:lineRule="auto"/>
              <w:jc w:val="right"/>
              <w:rPr>
                <w:rFonts w:ascii="Calibri" w:eastAsia="Times New Roman" w:hAnsi="Calibri" w:cs="Calibri"/>
                <w:color w:val="000000"/>
              </w:rPr>
            </w:pPr>
            <w:r w:rsidRPr="007E15A2">
              <w:rPr>
                <w:rFonts w:ascii="Calibri" w:eastAsia="Times New Roman" w:hAnsi="Calibri" w:cs="Calibri"/>
                <w:color w:val="000000"/>
              </w:rPr>
              <w:t>3,404,870</w:t>
            </w:r>
          </w:p>
        </w:tc>
      </w:tr>
    </w:tbl>
    <w:p w:rsidR="007E15A2" w:rsidRPr="007E15A2" w:rsidRDefault="007E15A2" w:rsidP="005A64D9">
      <w:pPr>
        <w:spacing w:after="0" w:line="240" w:lineRule="auto"/>
        <w:rPr>
          <w:rFonts w:ascii="Arial" w:hAnsi="Arial" w:cs="Arial"/>
          <w:b/>
          <w:sz w:val="20"/>
          <w:szCs w:val="20"/>
        </w:rPr>
      </w:pPr>
    </w:p>
    <w:sectPr w:rsidR="007E15A2" w:rsidRPr="007E1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32"/>
    <w:rsid w:val="00031472"/>
    <w:rsid w:val="0004557A"/>
    <w:rsid w:val="00052902"/>
    <w:rsid w:val="000C02EF"/>
    <w:rsid w:val="000C59B6"/>
    <w:rsid w:val="00115D36"/>
    <w:rsid w:val="001251AB"/>
    <w:rsid w:val="001826A2"/>
    <w:rsid w:val="001B4AC1"/>
    <w:rsid w:val="001B4DD3"/>
    <w:rsid w:val="001D7AD8"/>
    <w:rsid w:val="001E27AB"/>
    <w:rsid w:val="001F3388"/>
    <w:rsid w:val="002B2193"/>
    <w:rsid w:val="00305D8D"/>
    <w:rsid w:val="003103CE"/>
    <w:rsid w:val="00311A7E"/>
    <w:rsid w:val="003378FD"/>
    <w:rsid w:val="00344D66"/>
    <w:rsid w:val="00346208"/>
    <w:rsid w:val="00366174"/>
    <w:rsid w:val="0037686C"/>
    <w:rsid w:val="0039103C"/>
    <w:rsid w:val="003F4F29"/>
    <w:rsid w:val="004A43E2"/>
    <w:rsid w:val="004A7B31"/>
    <w:rsid w:val="004F5A28"/>
    <w:rsid w:val="00506BCC"/>
    <w:rsid w:val="00530A2B"/>
    <w:rsid w:val="0055514F"/>
    <w:rsid w:val="005A64D9"/>
    <w:rsid w:val="005E5DAC"/>
    <w:rsid w:val="005F0EB9"/>
    <w:rsid w:val="005F0F7D"/>
    <w:rsid w:val="00664F24"/>
    <w:rsid w:val="00674040"/>
    <w:rsid w:val="00743315"/>
    <w:rsid w:val="007755DD"/>
    <w:rsid w:val="00784DE2"/>
    <w:rsid w:val="007A1B6F"/>
    <w:rsid w:val="007A2DD5"/>
    <w:rsid w:val="007A607E"/>
    <w:rsid w:val="007B1030"/>
    <w:rsid w:val="007D656E"/>
    <w:rsid w:val="007E15A2"/>
    <w:rsid w:val="007E3969"/>
    <w:rsid w:val="008268D8"/>
    <w:rsid w:val="00885322"/>
    <w:rsid w:val="008B43AD"/>
    <w:rsid w:val="008F6A74"/>
    <w:rsid w:val="00916D5A"/>
    <w:rsid w:val="009223A1"/>
    <w:rsid w:val="00922D09"/>
    <w:rsid w:val="0095058C"/>
    <w:rsid w:val="00950A8B"/>
    <w:rsid w:val="00962332"/>
    <w:rsid w:val="00997050"/>
    <w:rsid w:val="009D47F7"/>
    <w:rsid w:val="009D71FF"/>
    <w:rsid w:val="00A04D5C"/>
    <w:rsid w:val="00A42998"/>
    <w:rsid w:val="00A5457F"/>
    <w:rsid w:val="00A8427E"/>
    <w:rsid w:val="00A946C4"/>
    <w:rsid w:val="00AC746F"/>
    <w:rsid w:val="00B00EAA"/>
    <w:rsid w:val="00B10E4A"/>
    <w:rsid w:val="00B3280D"/>
    <w:rsid w:val="00B43129"/>
    <w:rsid w:val="00B44957"/>
    <w:rsid w:val="00B478B8"/>
    <w:rsid w:val="00B57F94"/>
    <w:rsid w:val="00B76EF5"/>
    <w:rsid w:val="00BA3B5C"/>
    <w:rsid w:val="00BB6AC4"/>
    <w:rsid w:val="00BB7B3F"/>
    <w:rsid w:val="00C13AE9"/>
    <w:rsid w:val="00C72A47"/>
    <w:rsid w:val="00CA5645"/>
    <w:rsid w:val="00CE0CCE"/>
    <w:rsid w:val="00CF3252"/>
    <w:rsid w:val="00D04901"/>
    <w:rsid w:val="00D36039"/>
    <w:rsid w:val="00D402E8"/>
    <w:rsid w:val="00D77CAA"/>
    <w:rsid w:val="00D85522"/>
    <w:rsid w:val="00DD2838"/>
    <w:rsid w:val="00E24FD5"/>
    <w:rsid w:val="00E60517"/>
    <w:rsid w:val="00EA2E00"/>
    <w:rsid w:val="00EC0633"/>
    <w:rsid w:val="00EC0812"/>
    <w:rsid w:val="00EE4400"/>
    <w:rsid w:val="00EF4C04"/>
    <w:rsid w:val="00F353E9"/>
    <w:rsid w:val="00F41C1E"/>
    <w:rsid w:val="00F73A27"/>
    <w:rsid w:val="00F74C01"/>
    <w:rsid w:val="00F9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37147-7729-4E42-8CF4-A297068C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2193"/>
    <w:rPr>
      <w:sz w:val="16"/>
      <w:szCs w:val="16"/>
    </w:rPr>
  </w:style>
  <w:style w:type="paragraph" w:styleId="CommentText">
    <w:name w:val="annotation text"/>
    <w:basedOn w:val="Normal"/>
    <w:link w:val="CommentTextChar"/>
    <w:uiPriority w:val="99"/>
    <w:semiHidden/>
    <w:unhideWhenUsed/>
    <w:rsid w:val="002B2193"/>
    <w:pPr>
      <w:spacing w:line="240" w:lineRule="auto"/>
    </w:pPr>
    <w:rPr>
      <w:sz w:val="20"/>
      <w:szCs w:val="20"/>
    </w:rPr>
  </w:style>
  <w:style w:type="character" w:customStyle="1" w:styleId="CommentTextChar">
    <w:name w:val="Comment Text Char"/>
    <w:basedOn w:val="DefaultParagraphFont"/>
    <w:link w:val="CommentText"/>
    <w:uiPriority w:val="99"/>
    <w:semiHidden/>
    <w:rsid w:val="002B2193"/>
    <w:rPr>
      <w:sz w:val="20"/>
      <w:szCs w:val="20"/>
    </w:rPr>
  </w:style>
  <w:style w:type="paragraph" w:styleId="CommentSubject">
    <w:name w:val="annotation subject"/>
    <w:basedOn w:val="CommentText"/>
    <w:next w:val="CommentText"/>
    <w:link w:val="CommentSubjectChar"/>
    <w:uiPriority w:val="99"/>
    <w:semiHidden/>
    <w:unhideWhenUsed/>
    <w:rsid w:val="002B2193"/>
    <w:rPr>
      <w:b/>
      <w:bCs/>
    </w:rPr>
  </w:style>
  <w:style w:type="character" w:customStyle="1" w:styleId="CommentSubjectChar">
    <w:name w:val="Comment Subject Char"/>
    <w:basedOn w:val="CommentTextChar"/>
    <w:link w:val="CommentSubject"/>
    <w:uiPriority w:val="99"/>
    <w:semiHidden/>
    <w:rsid w:val="002B2193"/>
    <w:rPr>
      <w:b/>
      <w:bCs/>
      <w:sz w:val="20"/>
      <w:szCs w:val="20"/>
    </w:rPr>
  </w:style>
  <w:style w:type="paragraph" w:styleId="BalloonText">
    <w:name w:val="Balloon Text"/>
    <w:basedOn w:val="Normal"/>
    <w:link w:val="BalloonTextChar"/>
    <w:uiPriority w:val="99"/>
    <w:semiHidden/>
    <w:unhideWhenUsed/>
    <w:rsid w:val="002B2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93"/>
    <w:rPr>
      <w:rFonts w:ascii="Tahoma" w:hAnsi="Tahoma" w:cs="Tahoma"/>
      <w:sz w:val="16"/>
      <w:szCs w:val="16"/>
    </w:rPr>
  </w:style>
  <w:style w:type="character" w:styleId="Hyperlink">
    <w:name w:val="Hyperlink"/>
    <w:basedOn w:val="DefaultParagraphFont"/>
    <w:uiPriority w:val="99"/>
    <w:unhideWhenUsed/>
    <w:rsid w:val="004F5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17710">
      <w:bodyDiv w:val="1"/>
      <w:marLeft w:val="0"/>
      <w:marRight w:val="0"/>
      <w:marTop w:val="0"/>
      <w:marBottom w:val="0"/>
      <w:divBdr>
        <w:top w:val="none" w:sz="0" w:space="0" w:color="auto"/>
        <w:left w:val="none" w:sz="0" w:space="0" w:color="auto"/>
        <w:bottom w:val="none" w:sz="0" w:space="0" w:color="auto"/>
        <w:right w:val="none" w:sz="0" w:space="0" w:color="auto"/>
      </w:divBdr>
    </w:div>
    <w:div w:id="752161227">
      <w:bodyDiv w:val="1"/>
      <w:marLeft w:val="0"/>
      <w:marRight w:val="0"/>
      <w:marTop w:val="0"/>
      <w:marBottom w:val="0"/>
      <w:divBdr>
        <w:top w:val="none" w:sz="0" w:space="0" w:color="auto"/>
        <w:left w:val="none" w:sz="0" w:space="0" w:color="auto"/>
        <w:bottom w:val="none" w:sz="0" w:space="0" w:color="auto"/>
        <w:right w:val="none" w:sz="0" w:space="0" w:color="auto"/>
      </w:divBdr>
    </w:div>
    <w:div w:id="1170826629">
      <w:bodyDiv w:val="1"/>
      <w:marLeft w:val="0"/>
      <w:marRight w:val="0"/>
      <w:marTop w:val="0"/>
      <w:marBottom w:val="0"/>
      <w:divBdr>
        <w:top w:val="none" w:sz="0" w:space="0" w:color="auto"/>
        <w:left w:val="none" w:sz="0" w:space="0" w:color="auto"/>
        <w:bottom w:val="none" w:sz="0" w:space="0" w:color="auto"/>
        <w:right w:val="none" w:sz="0" w:space="0" w:color="auto"/>
      </w:divBdr>
    </w:div>
    <w:div w:id="1264605207">
      <w:bodyDiv w:val="1"/>
      <w:marLeft w:val="0"/>
      <w:marRight w:val="0"/>
      <w:marTop w:val="0"/>
      <w:marBottom w:val="0"/>
      <w:divBdr>
        <w:top w:val="none" w:sz="0" w:space="0" w:color="auto"/>
        <w:left w:val="none" w:sz="0" w:space="0" w:color="auto"/>
        <w:bottom w:val="none" w:sz="0" w:space="0" w:color="auto"/>
        <w:right w:val="none" w:sz="0" w:space="0" w:color="auto"/>
      </w:divBdr>
    </w:div>
    <w:div w:id="1562598287">
      <w:bodyDiv w:val="1"/>
      <w:marLeft w:val="0"/>
      <w:marRight w:val="0"/>
      <w:marTop w:val="0"/>
      <w:marBottom w:val="0"/>
      <w:divBdr>
        <w:top w:val="none" w:sz="0" w:space="0" w:color="auto"/>
        <w:left w:val="none" w:sz="0" w:space="0" w:color="auto"/>
        <w:bottom w:val="none" w:sz="0" w:space="0" w:color="auto"/>
        <w:right w:val="none" w:sz="0" w:space="0" w:color="auto"/>
      </w:divBdr>
    </w:div>
    <w:div w:id="1753041425">
      <w:bodyDiv w:val="1"/>
      <w:marLeft w:val="0"/>
      <w:marRight w:val="0"/>
      <w:marTop w:val="0"/>
      <w:marBottom w:val="0"/>
      <w:divBdr>
        <w:top w:val="none" w:sz="0" w:space="0" w:color="auto"/>
        <w:left w:val="none" w:sz="0" w:space="0" w:color="auto"/>
        <w:bottom w:val="none" w:sz="0" w:space="0" w:color="auto"/>
        <w:right w:val="none" w:sz="0" w:space="0" w:color="auto"/>
      </w:divBdr>
    </w:div>
    <w:div w:id="20866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3.png@01D62AAD.D7E695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2.png@01D62CF7.EA9E5E8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JFuehrer@Guide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GuideOne Insurance</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Jessica</dc:creator>
  <cp:lastModifiedBy>Schnoes, Dave</cp:lastModifiedBy>
  <cp:revision>2</cp:revision>
  <cp:lastPrinted>2020-02-12T15:54:00Z</cp:lastPrinted>
  <dcterms:created xsi:type="dcterms:W3CDTF">2020-06-12T18:07:00Z</dcterms:created>
  <dcterms:modified xsi:type="dcterms:W3CDTF">2020-06-12T18:07:00Z</dcterms:modified>
</cp:coreProperties>
</file>