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482FE" w14:textId="53C9DDE9" w:rsidR="00920096" w:rsidRPr="003E3497" w:rsidRDefault="00920096" w:rsidP="00920096">
      <w:pPr>
        <w:rPr>
          <w:b/>
        </w:rPr>
      </w:pPr>
      <w:r w:rsidRPr="003E3497">
        <w:rPr>
          <w:b/>
        </w:rPr>
        <w:t>California Premi</w:t>
      </w:r>
      <w:r w:rsidR="00BC06A5">
        <w:rPr>
          <w:b/>
        </w:rPr>
        <w:t xml:space="preserve">um Refund Bulletin </w:t>
      </w:r>
      <w:r w:rsidR="001D3E3D">
        <w:rPr>
          <w:b/>
        </w:rPr>
        <w:t>20</w:t>
      </w:r>
      <w:r w:rsidR="00640D07">
        <w:rPr>
          <w:b/>
        </w:rPr>
        <w:t>21-03</w:t>
      </w:r>
    </w:p>
    <w:p w14:paraId="29924CE0" w14:textId="77777777" w:rsidR="00920096" w:rsidRPr="00AF5979" w:rsidRDefault="00920096" w:rsidP="00920096">
      <w:pPr>
        <w:rPr>
          <w:b/>
        </w:rPr>
      </w:pPr>
      <w:r>
        <w:rPr>
          <w:b/>
        </w:rPr>
        <w:t>Commercial Multi-Peril Response</w:t>
      </w:r>
    </w:p>
    <w:p w14:paraId="6C9BF7ED" w14:textId="3771A4D4" w:rsidR="00C24CE3" w:rsidRDefault="00920096" w:rsidP="00920096">
      <w:r>
        <w:t>In response t</w:t>
      </w:r>
      <w:r w:rsidR="00BC06A5">
        <w:t>o the California</w:t>
      </w:r>
      <w:r w:rsidR="00640D07">
        <w:t xml:space="preserve"> </w:t>
      </w:r>
      <w:r w:rsidR="00BC06A5">
        <w:t>Bulletin 202</w:t>
      </w:r>
      <w:r w:rsidR="00640D07">
        <w:t>1-03</w:t>
      </w:r>
      <w:r>
        <w:t xml:space="preserve">, Farmers® reviewed its </w:t>
      </w:r>
      <w:r w:rsidR="004055CF">
        <w:t>C</w:t>
      </w:r>
      <w:r>
        <w:t xml:space="preserve">ommercial </w:t>
      </w:r>
      <w:r w:rsidR="004055CF">
        <w:t>M</w:t>
      </w:r>
      <w:r>
        <w:t>ulti-</w:t>
      </w:r>
      <w:r w:rsidR="004055CF">
        <w:t>P</w:t>
      </w:r>
      <w:r>
        <w:t xml:space="preserve">eril book of business in California.   </w:t>
      </w:r>
      <w:r w:rsidR="004055CF">
        <w:t xml:space="preserve">Farmers® </w:t>
      </w:r>
      <w:r w:rsidRPr="00920096">
        <w:t>Commercial Multi-Peril lines of insurance currently filed with the state of California consist of Habitational, Real Estate, Retail</w:t>
      </w:r>
      <w:r w:rsidR="0063684E">
        <w:t>/Office/Service</w:t>
      </w:r>
      <w:r w:rsidRPr="00920096">
        <w:t xml:space="preserve">, Restaurant, </w:t>
      </w:r>
      <w:r w:rsidR="004055CF">
        <w:t xml:space="preserve">Artisan </w:t>
      </w:r>
      <w:r w:rsidRPr="00920096">
        <w:t>Contractor, Automotive Service &amp; Repair, Manufa</w:t>
      </w:r>
      <w:r w:rsidR="002004A8">
        <w:t xml:space="preserve">cturing, Wholesale, </w:t>
      </w:r>
      <w:r w:rsidRPr="00920096">
        <w:t xml:space="preserve">and Institutional Industries.  </w:t>
      </w:r>
      <w:r w:rsidR="002320B9">
        <w:t xml:space="preserve">A </w:t>
      </w:r>
      <w:proofErr w:type="gramStart"/>
      <w:r w:rsidR="00640D07">
        <w:t>three</w:t>
      </w:r>
      <w:r w:rsidR="002320B9">
        <w:t xml:space="preserve"> month</w:t>
      </w:r>
      <w:proofErr w:type="gramEnd"/>
      <w:r w:rsidR="002320B9">
        <w:t xml:space="preserve"> review of p</w:t>
      </w:r>
      <w:r w:rsidR="002320B9" w:rsidRPr="00920096">
        <w:t xml:space="preserve">ropriety loss data, Bureau of Labor Statistics unemployment data and current interactions with customers and agents </w:t>
      </w:r>
      <w:r w:rsidR="002320B9">
        <w:t xml:space="preserve">indicates that </w:t>
      </w:r>
      <w:r w:rsidRPr="00920096">
        <w:t>COVID-19</w:t>
      </w:r>
      <w:r w:rsidR="004055CF">
        <w:t xml:space="preserve"> related events are</w:t>
      </w:r>
      <w:r w:rsidR="00C24CE3">
        <w:t xml:space="preserve"> having</w:t>
      </w:r>
      <w:r w:rsidRPr="00920096">
        <w:t xml:space="preserve"> </w:t>
      </w:r>
      <w:r w:rsidR="002320B9">
        <w:t xml:space="preserve">widely varying </w:t>
      </w:r>
      <w:r w:rsidRPr="00920096">
        <w:t>impacts on loss exposures</w:t>
      </w:r>
      <w:r w:rsidR="002320B9">
        <w:t xml:space="preserve"> within</w:t>
      </w:r>
      <w:r w:rsidR="00DB458B">
        <w:t xml:space="preserve"> our Commercial Multi-Peril book.  </w:t>
      </w:r>
    </w:p>
    <w:p w14:paraId="36833509" w14:textId="77777777" w:rsidR="00213FF9" w:rsidRDefault="00213FF9" w:rsidP="00213FF9">
      <w:r w:rsidRPr="004E6FF7">
        <w:t xml:space="preserve">To </w:t>
      </w:r>
      <w:r w:rsidRPr="005D0A06">
        <w:t>address</w:t>
      </w:r>
      <w:r w:rsidRPr="004E6FF7">
        <w:t xml:space="preserve"> consumers </w:t>
      </w:r>
      <w:r>
        <w:t>with</w:t>
      </w:r>
      <w:r w:rsidRPr="005D0A06">
        <w:t xml:space="preserve"> variations in their exposures</w:t>
      </w:r>
      <w:r w:rsidRPr="004E6FF7">
        <w:t>, dependent upon their class of business and individual business ci</w:t>
      </w:r>
      <w:r>
        <w:t xml:space="preserve">rcumstances, </w:t>
      </w:r>
      <w:r w:rsidR="00343EFF">
        <w:t xml:space="preserve">Farmers® </w:t>
      </w:r>
      <w:r w:rsidR="000662CA">
        <w:t>will reduce</w:t>
      </w:r>
      <w:r w:rsidRPr="004E6FF7">
        <w:t xml:space="preserve"> the premium exposure base according to the request o</w:t>
      </w:r>
      <w:r>
        <w:t>f the individual customer.  W</w:t>
      </w:r>
      <w:r w:rsidRPr="004E6FF7">
        <w:t>e have already</w:t>
      </w:r>
      <w:r>
        <w:t xml:space="preserve"> contacted all </w:t>
      </w:r>
      <w:r w:rsidR="00343EFF">
        <w:t>Farmers®</w:t>
      </w:r>
      <w:r>
        <w:t xml:space="preserve"> agents and requested that they provide us with updated exposures for any Commercial Multi-Peril risk that has seen a change in exposure. </w:t>
      </w:r>
    </w:p>
    <w:p w14:paraId="62967083" w14:textId="61D358E1" w:rsidR="00343EFF" w:rsidRDefault="00213FF9" w:rsidP="00920096">
      <w:r>
        <w:t>Note that i</w:t>
      </w:r>
      <w:r w:rsidR="00C24CE3">
        <w:t>n April and May</w:t>
      </w:r>
      <w:r w:rsidR="00640D07">
        <w:t xml:space="preserve"> of 2020</w:t>
      </w:r>
      <w:r w:rsidR="00C24CE3">
        <w:t xml:space="preserve">, </w:t>
      </w:r>
      <w:proofErr w:type="gramStart"/>
      <w:r w:rsidR="00C24CE3">
        <w:t>in order to</w:t>
      </w:r>
      <w:proofErr w:type="gramEnd"/>
      <w:r w:rsidR="00C24CE3">
        <w:t xml:space="preserve"> provide immediate relief to our customers</w:t>
      </w:r>
      <w:r w:rsidR="000662CA">
        <w:t>,</w:t>
      </w:r>
      <w:r w:rsidR="00C24CE3">
        <w:t xml:space="preserve"> Farmers® issued over $5.3 Million of refunds to Commercial Multi-Peril customers in the state of California. </w:t>
      </w:r>
      <w:r>
        <w:t>Since then</w:t>
      </w:r>
      <w:r w:rsidR="000662CA">
        <w:t>,</w:t>
      </w:r>
      <w:r>
        <w:t xml:space="preserve"> we have built out robust procedures for assisting our customers on an individual basis and </w:t>
      </w:r>
      <w:r w:rsidR="00464E63">
        <w:t xml:space="preserve">are </w:t>
      </w:r>
      <w:r>
        <w:t xml:space="preserve">adjusting specific exposures as noted above.  </w:t>
      </w:r>
      <w:r w:rsidR="00343EFF">
        <w:t>Furthermore,</w:t>
      </w:r>
      <w:r w:rsidR="00C24CE3">
        <w:t xml:space="preserve"> we have seen</w:t>
      </w:r>
      <w:r w:rsidR="000662CA">
        <w:t xml:space="preserve"> increases in</w:t>
      </w:r>
      <w:r w:rsidR="00C24CE3">
        <w:t xml:space="preserve"> loss activity</w:t>
      </w:r>
      <w:r w:rsidR="000662CA">
        <w:t xml:space="preserve"> during the </w:t>
      </w:r>
      <w:r w:rsidR="00640D07">
        <w:t>more recent months</w:t>
      </w:r>
      <w:r w:rsidR="000662CA">
        <w:t>.  A</w:t>
      </w:r>
      <w:r>
        <w:t>n actuarial review has indicated that our rates are insufficient</w:t>
      </w:r>
      <w:r w:rsidR="000662CA">
        <w:t>,</w:t>
      </w:r>
      <w:r>
        <w:t xml:space="preserve"> which has been reflected in our most recent filing submission with a CDI indication of +1</w:t>
      </w:r>
      <w:r w:rsidR="00420760">
        <w:t>2.5</w:t>
      </w:r>
      <w:r>
        <w:t>%.</w:t>
      </w:r>
      <w:r w:rsidR="00343EFF">
        <w:t xml:space="preserve">  Accordingly, we will not be providing across the board premium refunds for Commercial Multi-Peril customers in </w:t>
      </w:r>
      <w:r w:rsidR="00640D07">
        <w:t>the months of January, February, or March</w:t>
      </w:r>
      <w:r w:rsidR="00343EFF">
        <w:t xml:space="preserve">.  </w:t>
      </w:r>
    </w:p>
    <w:p w14:paraId="40672E0D" w14:textId="7F9C3C87" w:rsidR="004E6FF7" w:rsidRPr="00464E63" w:rsidRDefault="00343EFF" w:rsidP="00920096">
      <w:r>
        <w:t>In summary, we believe Farmers® Commercial Multi-Peril rates to be in</w:t>
      </w:r>
      <w:r w:rsidR="00703C64">
        <w:t>sufficient</w:t>
      </w:r>
      <w:r>
        <w:t xml:space="preserve"> and we remain committed to securing approval for a prospective rate adjustment to ensure the long-term financial viability of our Commercial Multi-Peril book</w:t>
      </w:r>
      <w:r w:rsidR="000662CA">
        <w:t>,</w:t>
      </w:r>
      <w:r>
        <w:t xml:space="preserve"> while also continuing to take short-term steps to support customers whose businesses </w:t>
      </w:r>
      <w:r w:rsidR="000662CA">
        <w:t>are</w:t>
      </w:r>
      <w:r>
        <w:t xml:space="preserve"> impacted by the pandemic.</w:t>
      </w:r>
      <w:r w:rsidR="00716E80">
        <w:t xml:space="preserve">  </w:t>
      </w:r>
    </w:p>
    <w:sectPr w:rsidR="004E6FF7" w:rsidRPr="00464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747DD"/>
    <w:multiLevelType w:val="hybridMultilevel"/>
    <w:tmpl w:val="50DC5FA6"/>
    <w:lvl w:ilvl="0" w:tplc="B8D44DA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1A04D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790D48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AC80A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0D08EA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238327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85AA24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FD8B3B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ADA69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096"/>
    <w:rsid w:val="000662CA"/>
    <w:rsid w:val="00196864"/>
    <w:rsid w:val="001D3E3D"/>
    <w:rsid w:val="002004A8"/>
    <w:rsid w:val="00213FF9"/>
    <w:rsid w:val="002320B9"/>
    <w:rsid w:val="00343EFF"/>
    <w:rsid w:val="00377636"/>
    <w:rsid w:val="004055CF"/>
    <w:rsid w:val="00413C90"/>
    <w:rsid w:val="00420760"/>
    <w:rsid w:val="00464E63"/>
    <w:rsid w:val="004E6FF7"/>
    <w:rsid w:val="0056362C"/>
    <w:rsid w:val="00563CE8"/>
    <w:rsid w:val="005D0A06"/>
    <w:rsid w:val="00624CDB"/>
    <w:rsid w:val="0063684E"/>
    <w:rsid w:val="00640D07"/>
    <w:rsid w:val="00703C64"/>
    <w:rsid w:val="00716E80"/>
    <w:rsid w:val="00827968"/>
    <w:rsid w:val="00920096"/>
    <w:rsid w:val="00A62D80"/>
    <w:rsid w:val="00AB1AAA"/>
    <w:rsid w:val="00BC06A5"/>
    <w:rsid w:val="00BD3F09"/>
    <w:rsid w:val="00C04F4C"/>
    <w:rsid w:val="00C24CE3"/>
    <w:rsid w:val="00C448FA"/>
    <w:rsid w:val="00C72CFA"/>
    <w:rsid w:val="00DB458B"/>
    <w:rsid w:val="00F94D08"/>
    <w:rsid w:val="00FA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8566A"/>
  <w15:chartTrackingRefBased/>
  <w15:docId w15:val="{9228561B-0785-43FF-BB9F-E208934C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6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9530">
          <w:marLeft w:val="3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Farmers Insurance Group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Drennen</dc:creator>
  <cp:keywords/>
  <dc:description/>
  <cp:lastModifiedBy>Zachary Drennen</cp:lastModifiedBy>
  <cp:revision>6</cp:revision>
  <dcterms:created xsi:type="dcterms:W3CDTF">2021-01-26T19:02:00Z</dcterms:created>
  <dcterms:modified xsi:type="dcterms:W3CDTF">2021-04-28T17:25:00Z</dcterms:modified>
</cp:coreProperties>
</file>