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26804" w14:textId="27AD4A94" w:rsidR="00D60103" w:rsidRDefault="00671DAF" w:rsidP="00D60103">
      <w:pPr>
        <w:pStyle w:val="NoSpacing"/>
        <w:jc w:val="center"/>
        <w:rPr>
          <w:b/>
          <w:bCs/>
          <w:sz w:val="28"/>
          <w:szCs w:val="28"/>
        </w:rPr>
      </w:pPr>
      <w:r w:rsidRPr="00D60103">
        <w:rPr>
          <w:b/>
          <w:bCs/>
          <w:sz w:val="28"/>
          <w:szCs w:val="28"/>
        </w:rPr>
        <w:t>CALIFORNIA</w:t>
      </w:r>
      <w:r w:rsidR="00777A52" w:rsidRPr="00D60103">
        <w:rPr>
          <w:b/>
          <w:bCs/>
          <w:sz w:val="28"/>
          <w:szCs w:val="28"/>
        </w:rPr>
        <w:t xml:space="preserve"> - BULLETIN 20</w:t>
      </w:r>
      <w:r w:rsidRPr="00D60103">
        <w:rPr>
          <w:b/>
          <w:bCs/>
          <w:sz w:val="28"/>
          <w:szCs w:val="28"/>
        </w:rPr>
        <w:t>20</w:t>
      </w:r>
      <w:r w:rsidR="00777A52" w:rsidRPr="00D60103">
        <w:rPr>
          <w:b/>
          <w:bCs/>
          <w:sz w:val="28"/>
          <w:szCs w:val="28"/>
        </w:rPr>
        <w:t>-</w:t>
      </w:r>
      <w:r w:rsidR="00D60103" w:rsidRPr="00D60103">
        <w:rPr>
          <w:b/>
          <w:bCs/>
          <w:sz w:val="28"/>
          <w:szCs w:val="28"/>
        </w:rPr>
        <w:t>8</w:t>
      </w:r>
      <w:r w:rsidR="00E10FE2" w:rsidRPr="00D60103">
        <w:rPr>
          <w:b/>
          <w:bCs/>
          <w:sz w:val="28"/>
          <w:szCs w:val="28"/>
        </w:rPr>
        <w:t xml:space="preserve"> </w:t>
      </w:r>
      <w:r w:rsidRPr="00D60103">
        <w:rPr>
          <w:b/>
          <w:bCs/>
          <w:sz w:val="28"/>
          <w:szCs w:val="28"/>
        </w:rPr>
        <w:t>–</w:t>
      </w:r>
      <w:r w:rsidR="005A110E" w:rsidRPr="00D60103">
        <w:rPr>
          <w:b/>
          <w:bCs/>
          <w:sz w:val="28"/>
          <w:szCs w:val="28"/>
        </w:rPr>
        <w:t xml:space="preserve"> </w:t>
      </w:r>
      <w:r w:rsidRPr="00D60103">
        <w:rPr>
          <w:b/>
          <w:bCs/>
          <w:sz w:val="28"/>
          <w:szCs w:val="28"/>
        </w:rPr>
        <w:t xml:space="preserve">Explanatory Memorandum – </w:t>
      </w:r>
      <w:r w:rsidR="00437CF5" w:rsidRPr="00D60103">
        <w:rPr>
          <w:b/>
          <w:bCs/>
          <w:sz w:val="28"/>
          <w:szCs w:val="28"/>
        </w:rPr>
        <w:t>Section</w:t>
      </w:r>
      <w:r w:rsidRPr="00D60103">
        <w:rPr>
          <w:b/>
          <w:bCs/>
          <w:sz w:val="28"/>
          <w:szCs w:val="28"/>
        </w:rPr>
        <w:t xml:space="preserve"> </w:t>
      </w:r>
      <w:r w:rsidR="00C75AC3" w:rsidRPr="00D60103">
        <w:rPr>
          <w:b/>
          <w:bCs/>
          <w:sz w:val="28"/>
          <w:szCs w:val="28"/>
        </w:rPr>
        <w:t>I</w:t>
      </w:r>
    </w:p>
    <w:p w14:paraId="6F535743" w14:textId="750E9C63" w:rsidR="00777A52" w:rsidRPr="00D60103" w:rsidRDefault="00777A52" w:rsidP="00D60103">
      <w:pPr>
        <w:pStyle w:val="NoSpacing"/>
        <w:jc w:val="center"/>
        <w:rPr>
          <w:b/>
          <w:bCs/>
          <w:sz w:val="28"/>
          <w:szCs w:val="28"/>
        </w:rPr>
      </w:pPr>
      <w:r w:rsidRPr="00D60103">
        <w:rPr>
          <w:b/>
          <w:bCs/>
          <w:sz w:val="28"/>
          <w:szCs w:val="28"/>
        </w:rPr>
        <w:t>SOMPO INTERNATIONAL RESPONSE – NAIC GROUP 3219</w:t>
      </w:r>
    </w:p>
    <w:p w14:paraId="2967B59B" w14:textId="0AAECC9C" w:rsidR="00777A52" w:rsidRDefault="00777A52" w:rsidP="00777A52">
      <w:pPr>
        <w:pStyle w:val="NoSpacing"/>
      </w:pPr>
    </w:p>
    <w:p w14:paraId="072589BE" w14:textId="0820E67F" w:rsidR="00233719" w:rsidRDefault="00233719" w:rsidP="00777A52">
      <w:pPr>
        <w:pStyle w:val="NoSpacing"/>
      </w:pPr>
      <w:r>
        <w:t xml:space="preserve">As ordered in </w:t>
      </w:r>
      <w:r w:rsidR="00671DAF">
        <w:t>California</w:t>
      </w:r>
      <w:r w:rsidR="006C2F24">
        <w:t xml:space="preserve"> </w:t>
      </w:r>
      <w:r>
        <w:t>Bulletin 20</w:t>
      </w:r>
      <w:r w:rsidR="00671DAF">
        <w:t>20</w:t>
      </w:r>
      <w:r>
        <w:t>-</w:t>
      </w:r>
      <w:r w:rsidR="00D60103">
        <w:t>8</w:t>
      </w:r>
      <w:r w:rsidR="00671DAF">
        <w:t>,</w:t>
      </w:r>
      <w:r>
        <w:t xml:space="preserve"> the </w:t>
      </w:r>
      <w:r w:rsidR="00671DAF">
        <w:t xml:space="preserve">Explanatory Memorandum </w:t>
      </w:r>
      <w:r>
        <w:t xml:space="preserve">response </w:t>
      </w:r>
      <w:r w:rsidR="00671DAF">
        <w:t xml:space="preserve">to </w:t>
      </w:r>
      <w:r w:rsidR="00437CF5">
        <w:t>Section</w:t>
      </w:r>
      <w:r w:rsidR="00671DAF">
        <w:t xml:space="preserve"> </w:t>
      </w:r>
      <w:r w:rsidR="00C75AC3">
        <w:t>I</w:t>
      </w:r>
      <w:r w:rsidR="00671DAF">
        <w:t xml:space="preserve"> </w:t>
      </w:r>
      <w:r>
        <w:t xml:space="preserve">for the following companies in the Sompo International Group </w:t>
      </w:r>
      <w:r w:rsidR="00BD7A5B">
        <w:t>(NAIC 3219)</w:t>
      </w:r>
      <w:r w:rsidR="00671DAF">
        <w:t xml:space="preserve"> is below.</w:t>
      </w:r>
      <w:r>
        <w:t xml:space="preserve"> </w:t>
      </w:r>
    </w:p>
    <w:p w14:paraId="0D818DBD" w14:textId="66059CAA" w:rsidR="007E5975" w:rsidRDefault="007E5975" w:rsidP="00BD7A5B">
      <w:pPr>
        <w:pStyle w:val="NoSpacing"/>
        <w:ind w:left="720"/>
      </w:pPr>
      <w:r>
        <w:t xml:space="preserve">Endurance Assurance Corporation </w:t>
      </w:r>
      <w:r w:rsidR="00BD7A5B">
        <w:t>(</w:t>
      </w:r>
      <w:r>
        <w:t>NAIC 11551</w:t>
      </w:r>
      <w:r w:rsidR="00BD7A5B">
        <w:t>)</w:t>
      </w:r>
    </w:p>
    <w:p w14:paraId="3E274E1F" w14:textId="07DFC946" w:rsidR="007E5975" w:rsidRDefault="007E5975" w:rsidP="00BD7A5B">
      <w:pPr>
        <w:pStyle w:val="NoSpacing"/>
        <w:ind w:left="720"/>
      </w:pPr>
      <w:r>
        <w:t xml:space="preserve">Endurance </w:t>
      </w:r>
      <w:r w:rsidR="00864095">
        <w:t xml:space="preserve">Risk Solutions Assurance Co. </w:t>
      </w:r>
      <w:r w:rsidR="00BD7A5B">
        <w:t>(</w:t>
      </w:r>
      <w:r>
        <w:t xml:space="preserve">NAIC </w:t>
      </w:r>
      <w:r w:rsidR="00864095">
        <w:t>43630</w:t>
      </w:r>
      <w:r w:rsidR="00BD7A5B">
        <w:t>)</w:t>
      </w:r>
    </w:p>
    <w:p w14:paraId="04ECD987" w14:textId="66949323" w:rsidR="007E5975" w:rsidRDefault="007E5975" w:rsidP="00BD7A5B">
      <w:pPr>
        <w:pStyle w:val="NoSpacing"/>
        <w:ind w:left="720"/>
      </w:pPr>
      <w:r>
        <w:t xml:space="preserve">Sompo America Insurance Company </w:t>
      </w:r>
      <w:r w:rsidR="00BD7A5B">
        <w:t>(</w:t>
      </w:r>
      <w:r>
        <w:t>NAIC 11126</w:t>
      </w:r>
      <w:r w:rsidR="00BD7A5B">
        <w:t>)</w:t>
      </w:r>
    </w:p>
    <w:p w14:paraId="0D61B07E" w14:textId="4A4316E9" w:rsidR="007E5975" w:rsidRDefault="007E5975" w:rsidP="00BD7A5B">
      <w:pPr>
        <w:pStyle w:val="NoSpacing"/>
        <w:ind w:left="720"/>
      </w:pPr>
      <w:r>
        <w:t xml:space="preserve">Sompo America Fire &amp; Marine Insurance Company </w:t>
      </w:r>
      <w:r w:rsidR="00BD7A5B">
        <w:t xml:space="preserve">(NAIC </w:t>
      </w:r>
      <w:r>
        <w:t>38997</w:t>
      </w:r>
      <w:r w:rsidR="00BD7A5B">
        <w:t>)</w:t>
      </w:r>
    </w:p>
    <w:p w14:paraId="12AF6640" w14:textId="77777777" w:rsidR="007E5975" w:rsidRDefault="007E5975" w:rsidP="00777A52">
      <w:pPr>
        <w:pStyle w:val="NoSpacing"/>
      </w:pPr>
    </w:p>
    <w:p w14:paraId="796A2625" w14:textId="7080242C" w:rsidR="00545025" w:rsidRDefault="00437CF5" w:rsidP="00777A52">
      <w:pPr>
        <w:pStyle w:val="NoSpacing"/>
      </w:pPr>
      <w:r>
        <w:rPr>
          <w:b/>
          <w:bCs/>
        </w:rPr>
        <w:t xml:space="preserve">SECTION </w:t>
      </w:r>
      <w:r w:rsidR="00C75AC3">
        <w:rPr>
          <w:b/>
          <w:bCs/>
        </w:rPr>
        <w:t>I</w:t>
      </w:r>
      <w:r w:rsidR="00671DAF">
        <w:t xml:space="preserve"> - If your company writes in any lines of insurance specified in Bulletin 2020-</w:t>
      </w:r>
      <w:r w:rsidR="00D60103">
        <w:t>8</w:t>
      </w:r>
      <w:r w:rsidR="00671DAF">
        <w:t xml:space="preserve"> and has determined no refunds are necessary, please explain and provide any relevant documents - </w:t>
      </w:r>
    </w:p>
    <w:p w14:paraId="3CA22F6F" w14:textId="3BA2837C" w:rsidR="00545025" w:rsidRDefault="00545025" w:rsidP="00777A52">
      <w:pPr>
        <w:pStyle w:val="NoSpacing"/>
      </w:pPr>
    </w:p>
    <w:p w14:paraId="7C320E37" w14:textId="564AA14E" w:rsidR="006C2F24" w:rsidRDefault="006C2F24" w:rsidP="00545025">
      <w:pPr>
        <w:pStyle w:val="NoSpacing"/>
        <w:numPr>
          <w:ilvl w:val="0"/>
          <w:numId w:val="4"/>
        </w:numPr>
      </w:pPr>
      <w:r>
        <w:t xml:space="preserve">Our </w:t>
      </w:r>
      <w:r w:rsidR="00864095">
        <w:t xml:space="preserve">California </w:t>
      </w:r>
      <w:r>
        <w:t xml:space="preserve">book of business was reviewed to determine how our insureds have been affected by the COVID-19 pandemic.    </w:t>
      </w:r>
    </w:p>
    <w:p w14:paraId="081B145E" w14:textId="77777777" w:rsidR="006A0980" w:rsidRDefault="006A0980" w:rsidP="006A0980">
      <w:pPr>
        <w:pStyle w:val="NoSpacing"/>
        <w:ind w:left="720"/>
      </w:pPr>
    </w:p>
    <w:p w14:paraId="3D69AFF8" w14:textId="005D9DF2" w:rsidR="006A0980" w:rsidRPr="006A0980" w:rsidRDefault="00243E48" w:rsidP="006A0980">
      <w:pPr>
        <w:spacing w:after="0" w:line="240" w:lineRule="auto"/>
        <w:ind w:left="720"/>
        <w:rPr>
          <w:rFonts w:cstheme="minorHAnsi"/>
        </w:rPr>
      </w:pPr>
      <w:r w:rsidRPr="00243E48">
        <w:rPr>
          <w:rFonts w:cstheme="minorHAnsi"/>
          <w:b/>
          <w:bCs/>
          <w:u w:val="single"/>
        </w:rPr>
        <w:t>GENERAL LIABILITY</w:t>
      </w:r>
      <w:r>
        <w:rPr>
          <w:rFonts w:cstheme="minorHAnsi"/>
        </w:rPr>
        <w:t xml:space="preserve"> - </w:t>
      </w:r>
      <w:r w:rsidR="006A0980" w:rsidRPr="006A0980">
        <w:rPr>
          <w:rFonts w:cstheme="minorHAnsi"/>
        </w:rPr>
        <w:t>As explained in previous reports</w:t>
      </w:r>
      <w:r w:rsidR="006A0980" w:rsidRPr="006A0980">
        <w:rPr>
          <w:rFonts w:cstheme="minorHAnsi"/>
          <w:i/>
          <w:iCs/>
        </w:rPr>
        <w:t>,</w:t>
      </w:r>
      <w:r w:rsidR="00F34FF2">
        <w:rPr>
          <w:rFonts w:cstheme="minorHAnsi"/>
          <w:i/>
          <w:iCs/>
        </w:rPr>
        <w:t xml:space="preserve"> </w:t>
      </w:r>
      <w:r w:rsidR="00F34FF2">
        <w:rPr>
          <w:rFonts w:cstheme="minorHAnsi"/>
        </w:rPr>
        <w:t xml:space="preserve">SAIC </w:t>
      </w:r>
      <w:r w:rsidR="006A0980" w:rsidRPr="006A0980">
        <w:rPr>
          <w:rFonts w:cstheme="minorHAnsi"/>
        </w:rPr>
        <w:t xml:space="preserve">provided </w:t>
      </w:r>
      <w:r w:rsidR="006A0980" w:rsidRPr="006A0980">
        <w:rPr>
          <w:rFonts w:cstheme="minorHAnsi"/>
          <w:b/>
          <w:bCs/>
        </w:rPr>
        <w:t>General Liability</w:t>
      </w:r>
      <w:r w:rsidR="006A0980" w:rsidRPr="006A0980">
        <w:rPr>
          <w:rFonts w:cstheme="minorHAnsi"/>
        </w:rPr>
        <w:t xml:space="preserve"> premium relief for the period of March 19 through May 31, 2020</w:t>
      </w:r>
      <w:r w:rsidR="00422BB3">
        <w:rPr>
          <w:rFonts w:cstheme="minorHAnsi"/>
        </w:rPr>
        <w:t>,</w:t>
      </w:r>
      <w:r w:rsidR="00503A86">
        <w:rPr>
          <w:rFonts w:cstheme="minorHAnsi"/>
        </w:rPr>
        <w:t xml:space="preserve"> and </w:t>
      </w:r>
      <w:r w:rsidR="006A0980" w:rsidRPr="006A0980">
        <w:rPr>
          <w:rFonts w:cstheme="minorHAnsi"/>
        </w:rPr>
        <w:t>premium credit applicable to the period from June 1</w:t>
      </w:r>
      <w:r w:rsidR="006A0980" w:rsidRPr="006A0980">
        <w:rPr>
          <w:rFonts w:cstheme="minorHAnsi"/>
          <w:vertAlign w:val="superscript"/>
        </w:rPr>
        <w:t>st</w:t>
      </w:r>
      <w:r w:rsidR="006A0980" w:rsidRPr="006A0980">
        <w:rPr>
          <w:rFonts w:cstheme="minorHAnsi"/>
        </w:rPr>
        <w:t xml:space="preserve"> through June 30</w:t>
      </w:r>
      <w:r w:rsidR="006A0980" w:rsidRPr="006A0980">
        <w:rPr>
          <w:rFonts w:cstheme="minorHAnsi"/>
          <w:vertAlign w:val="superscript"/>
        </w:rPr>
        <w:t>th</w:t>
      </w:r>
      <w:r w:rsidR="006A0980" w:rsidRPr="006A0980">
        <w:rPr>
          <w:rFonts w:cstheme="minorHAnsi"/>
        </w:rPr>
        <w:t xml:space="preserve"> as outlined in Bulletin 2020-08. </w:t>
      </w:r>
      <w:r w:rsidR="00503A86" w:rsidRPr="006A0980">
        <w:rPr>
          <w:rFonts w:cstheme="minorHAnsi"/>
        </w:rPr>
        <w:t>We communicated the premium credit to our policyholders applicable to this period</w:t>
      </w:r>
      <w:r w:rsidR="00503A86">
        <w:rPr>
          <w:rFonts w:cstheme="minorHAnsi"/>
        </w:rPr>
        <w:t>.</w:t>
      </w:r>
      <w:r w:rsidR="006A0980" w:rsidRPr="006A0980">
        <w:rPr>
          <w:rFonts w:cstheme="minorHAnsi"/>
        </w:rPr>
        <w:t xml:space="preserve"> In preparation for this report, we reviewed the periods of July and August as outlined in this same bulletin.  We determined that additional </w:t>
      </w:r>
      <w:r w:rsidR="00492A14">
        <w:rPr>
          <w:rFonts w:cstheme="minorHAnsi"/>
        </w:rPr>
        <w:t>G</w:t>
      </w:r>
      <w:r w:rsidR="00503A86">
        <w:rPr>
          <w:rFonts w:cstheme="minorHAnsi"/>
        </w:rPr>
        <w:t xml:space="preserve">eneral </w:t>
      </w:r>
      <w:r w:rsidR="00492A14">
        <w:rPr>
          <w:rFonts w:cstheme="minorHAnsi"/>
        </w:rPr>
        <w:t>L</w:t>
      </w:r>
      <w:r w:rsidR="00503A86">
        <w:rPr>
          <w:rFonts w:cstheme="minorHAnsi"/>
        </w:rPr>
        <w:t>iability</w:t>
      </w:r>
      <w:r w:rsidR="00492A14">
        <w:rPr>
          <w:rFonts w:cstheme="minorHAnsi"/>
        </w:rPr>
        <w:t xml:space="preserve"> </w:t>
      </w:r>
      <w:r w:rsidR="006A0980" w:rsidRPr="006A0980">
        <w:rPr>
          <w:rFonts w:cstheme="minorHAnsi"/>
        </w:rPr>
        <w:t xml:space="preserve">premium relief is not warranted </w:t>
      </w:r>
      <w:r w:rsidR="00503A86">
        <w:rPr>
          <w:rFonts w:cstheme="minorHAnsi"/>
        </w:rPr>
        <w:t xml:space="preserve">after June 2020 </w:t>
      </w:r>
      <w:r w:rsidR="006A0980" w:rsidRPr="006A0980">
        <w:rPr>
          <w:rFonts w:cstheme="minorHAnsi"/>
        </w:rPr>
        <w:t>based on the following:</w:t>
      </w:r>
    </w:p>
    <w:p w14:paraId="1A908AB9" w14:textId="77777777" w:rsidR="006A0980" w:rsidRPr="006A0980" w:rsidRDefault="006A0980" w:rsidP="006A0980">
      <w:pPr>
        <w:spacing w:after="0" w:line="240" w:lineRule="auto"/>
        <w:ind w:left="720"/>
        <w:rPr>
          <w:rFonts w:cstheme="minorHAnsi"/>
        </w:rPr>
      </w:pPr>
    </w:p>
    <w:p w14:paraId="04B78DA6" w14:textId="0708A0C7" w:rsidR="006A0980" w:rsidRPr="006A0980" w:rsidRDefault="006A0980" w:rsidP="006A0980">
      <w:pPr>
        <w:numPr>
          <w:ilvl w:val="0"/>
          <w:numId w:val="9"/>
        </w:numPr>
        <w:spacing w:after="0" w:line="240" w:lineRule="auto"/>
        <w:rPr>
          <w:rFonts w:eastAsia="Times New Roman" w:cstheme="minorHAnsi"/>
        </w:rPr>
      </w:pPr>
      <w:r w:rsidRPr="006A0980">
        <w:rPr>
          <w:rFonts w:eastAsia="Times New Roman" w:cstheme="minorHAnsi"/>
        </w:rPr>
        <w:t>With various phased easing of restrictions occurring across California, many businesses have re</w:t>
      </w:r>
      <w:r w:rsidR="00492A14">
        <w:rPr>
          <w:rFonts w:eastAsia="Times New Roman" w:cstheme="minorHAnsi"/>
        </w:rPr>
        <w:t>-</w:t>
      </w:r>
      <w:r w:rsidRPr="006A0980">
        <w:rPr>
          <w:rFonts w:eastAsia="Times New Roman" w:cstheme="minorHAnsi"/>
        </w:rPr>
        <w:t>opened and others are gradually moving back to normal operations.   It is difficult to address each varying situation with traditional, standard adjustments.   Mid-term exposure updates or General Liability premium audits are the typical methods we employ to reconcile actual changes in exposure.  As in-force policies continue to expire, any COVID-related changes will be captured and reflected using these methods.  Reductions in addition to what the company has already provided will be based on actual audited or reported reductions in risk exposure.</w:t>
      </w:r>
    </w:p>
    <w:p w14:paraId="2AC6171B" w14:textId="51865336" w:rsidR="008E71AB" w:rsidRPr="008E71AB" w:rsidRDefault="008E71AB" w:rsidP="008E71AB">
      <w:pPr>
        <w:numPr>
          <w:ilvl w:val="0"/>
          <w:numId w:val="9"/>
        </w:numPr>
        <w:spacing w:after="0" w:line="240" w:lineRule="auto"/>
        <w:rPr>
          <w:rFonts w:eastAsia="Times New Roman" w:cstheme="minorHAnsi"/>
        </w:rPr>
      </w:pPr>
      <w:r w:rsidRPr="008E71AB">
        <w:rPr>
          <w:rFonts w:eastAsia="Times New Roman" w:cstheme="minorHAnsi"/>
        </w:rPr>
        <w:t xml:space="preserve">We have reviewed claim activity between last year and this year.  We have also reviewed the claim activity for the periods prior to the stay at home orders, during the stay at home orders, and during the period of stay at home orders easing.  We find that initial reported claim severity and reported loss amounts are increasing during the stay at home orders period and during the subsequent easing period, relative to the period prior to March 19. In addition, because the ultimate value of General Liability losses increases as time passes between initial report and actual claim settlement, we expect these numbers to increase. </w:t>
      </w:r>
    </w:p>
    <w:p w14:paraId="4346E0CC" w14:textId="22810543" w:rsidR="006A0980" w:rsidRDefault="006A0980" w:rsidP="006A0980">
      <w:pPr>
        <w:numPr>
          <w:ilvl w:val="0"/>
          <w:numId w:val="9"/>
        </w:numPr>
        <w:spacing w:after="0" w:line="240" w:lineRule="auto"/>
        <w:rPr>
          <w:rFonts w:eastAsia="Times New Roman" w:cstheme="minorHAnsi"/>
        </w:rPr>
      </w:pPr>
      <w:r w:rsidRPr="006A0980">
        <w:rPr>
          <w:rFonts w:eastAsia="Times New Roman" w:cstheme="minorHAnsi"/>
        </w:rPr>
        <w:t>In our letters to clients who received premium relief for the period of March 19 – June 30,</w:t>
      </w:r>
      <w:bookmarkStart w:id="0" w:name="_GoBack"/>
      <w:bookmarkEnd w:id="0"/>
      <w:r w:rsidRPr="006A0980">
        <w:rPr>
          <w:rFonts w:eastAsia="Times New Roman" w:cstheme="minorHAnsi"/>
        </w:rPr>
        <w:t xml:space="preserve"> we asked them to contact us if they had additional information for us to consider on a case-by-case basis.  </w:t>
      </w:r>
    </w:p>
    <w:p w14:paraId="545D374B" w14:textId="171F21F9" w:rsidR="00243E48" w:rsidRDefault="00243E48" w:rsidP="00243E48">
      <w:pPr>
        <w:spacing w:after="0" w:line="240" w:lineRule="auto"/>
        <w:rPr>
          <w:rFonts w:eastAsia="Times New Roman" w:cstheme="minorHAnsi"/>
        </w:rPr>
      </w:pPr>
    </w:p>
    <w:p w14:paraId="450CADB1" w14:textId="3DDB4BA1" w:rsidR="00243E48" w:rsidRDefault="00243E48" w:rsidP="00243E48">
      <w:pPr>
        <w:ind w:left="720"/>
      </w:pPr>
      <w:r w:rsidRPr="00243E48">
        <w:rPr>
          <w:b/>
          <w:bCs/>
          <w:u w:val="single"/>
        </w:rPr>
        <w:t>WORKERS’ COMPENSATION</w:t>
      </w:r>
      <w:r>
        <w:t xml:space="preserve"> - As explained in previous reports</w:t>
      </w:r>
      <w:r>
        <w:rPr>
          <w:i/>
          <w:iCs/>
        </w:rPr>
        <w:t xml:space="preserve">, </w:t>
      </w:r>
      <w:r>
        <w:t>SAIC</w:t>
      </w:r>
      <w:r w:rsidR="00F34FF2">
        <w:t xml:space="preserve"> and </w:t>
      </w:r>
      <w:r>
        <w:t>SAFM</w:t>
      </w:r>
      <w:r>
        <w:rPr>
          <w:i/>
          <w:iCs/>
        </w:rPr>
        <w:t xml:space="preserve"> </w:t>
      </w:r>
      <w:r>
        <w:t xml:space="preserve">provided </w:t>
      </w:r>
      <w:r w:rsidRPr="00243E48">
        <w:rPr>
          <w:b/>
          <w:bCs/>
        </w:rPr>
        <w:t>Workers’ Compensation</w:t>
      </w:r>
      <w:r>
        <w:t xml:space="preserve"> premium relief for the period of March 19 through May 31, 2020.  In the October 1 workbook, premium relief for the month of June 2020 is shown.    However, we have reviewed for the periods of July and August as outlined in Bulletin 2020-08 and determined that additional WC premium relief is not warranted after June 2020 based on the following:</w:t>
      </w:r>
    </w:p>
    <w:p w14:paraId="3954DFEB" w14:textId="6555A5C8" w:rsidR="00243E48" w:rsidRPr="009D69F1" w:rsidRDefault="00243E48" w:rsidP="009D69F1">
      <w:pPr>
        <w:pStyle w:val="ListParagraph"/>
        <w:numPr>
          <w:ilvl w:val="0"/>
          <w:numId w:val="11"/>
        </w:numPr>
        <w:spacing w:after="0" w:line="240" w:lineRule="auto"/>
        <w:ind w:left="1440"/>
        <w:contextualSpacing w:val="0"/>
        <w:rPr>
          <w:rFonts w:eastAsia="Times New Roman"/>
        </w:rPr>
      </w:pPr>
      <w:r>
        <w:rPr>
          <w:rFonts w:eastAsia="Times New Roman"/>
        </w:rPr>
        <w:t>A broad presumption of WC coverage for COVID-19 claims exists in California, initially via Executive Order and now through legislation (SB1159).  The company is receiving and handling COVID-19 WC claims under in-force policies for which rates did not contemplate such claims.  </w:t>
      </w:r>
    </w:p>
    <w:p w14:paraId="28495078" w14:textId="6CEAAEBB" w:rsidR="00243E48" w:rsidRPr="00243E48" w:rsidRDefault="00243E48" w:rsidP="00243E48">
      <w:pPr>
        <w:pStyle w:val="ListParagraph"/>
        <w:numPr>
          <w:ilvl w:val="0"/>
          <w:numId w:val="11"/>
        </w:numPr>
        <w:spacing w:after="0" w:line="240" w:lineRule="auto"/>
        <w:ind w:left="1440"/>
        <w:contextualSpacing w:val="0"/>
        <w:rPr>
          <w:rFonts w:eastAsia="Times New Roman"/>
        </w:rPr>
      </w:pPr>
      <w:r>
        <w:rPr>
          <w:rFonts w:eastAsia="Times New Roman"/>
        </w:rPr>
        <w:t xml:space="preserve">In its amended pure premium filing for 1-1-21 (dated 9-15-20), the WCIRB evaluated COVID-19 claim data and the impact of SB 1159.  Their recommended pure premium rates for each classification </w:t>
      </w:r>
      <w:r>
        <w:rPr>
          <w:rFonts w:eastAsia="Times New Roman"/>
        </w:rPr>
        <w:lastRenderedPageBreak/>
        <w:t xml:space="preserve">include an </w:t>
      </w:r>
      <w:r>
        <w:rPr>
          <w:rFonts w:eastAsia="Times New Roman"/>
          <w:u w:val="single"/>
        </w:rPr>
        <w:t>additive amount</w:t>
      </w:r>
      <w:r>
        <w:rPr>
          <w:rFonts w:eastAsia="Times New Roman"/>
        </w:rPr>
        <w:t xml:space="preserve"> due to COVID-19.  The average additive amount is .06 per class code, but ranges between .01 and .24, depending on the Industry Sector Grouping.  If approved, this means future rates will contemplate COVID-19, but also confirms that prior pure premium rates were not adequate to support the COVID-19 claims that are now covered.</w:t>
      </w:r>
    </w:p>
    <w:p w14:paraId="75FF9980" w14:textId="0C5492D9" w:rsidR="00243E48" w:rsidRDefault="00243E48" w:rsidP="00243E48">
      <w:pPr>
        <w:pStyle w:val="ListParagraph"/>
        <w:numPr>
          <w:ilvl w:val="1"/>
          <w:numId w:val="11"/>
        </w:numPr>
        <w:spacing w:line="252" w:lineRule="auto"/>
      </w:pPr>
      <w:r w:rsidRPr="00243E48">
        <w:rPr>
          <w:rFonts w:eastAsia="Times New Roman"/>
        </w:rPr>
        <w:t xml:space="preserve">Although data is green, our actuarial review of year over year CA WC reported claim count data for July and August shows that California reported counts for 2020 are higher relative to the same </w:t>
      </w:r>
      <w:r w:rsidR="00492A14" w:rsidRPr="00243E48">
        <w:rPr>
          <w:rFonts w:eastAsia="Times New Roman"/>
        </w:rPr>
        <w:t>two-month</w:t>
      </w:r>
      <w:r w:rsidRPr="00243E48">
        <w:rPr>
          <w:rFonts w:eastAsia="Times New Roman"/>
        </w:rPr>
        <w:t xml:space="preserve"> period in 2019</w:t>
      </w:r>
      <w:r w:rsidRPr="00243E48">
        <w:rPr>
          <w:rFonts w:eastAsia="Times New Roman"/>
          <w:color w:val="4472C4"/>
        </w:rPr>
        <w:t xml:space="preserve">. </w:t>
      </w:r>
    </w:p>
    <w:p w14:paraId="3B063C85" w14:textId="6B713511" w:rsidR="00243E48" w:rsidRPr="00243E48" w:rsidRDefault="00243E48" w:rsidP="00243E48">
      <w:pPr>
        <w:pStyle w:val="ListParagraph"/>
        <w:numPr>
          <w:ilvl w:val="0"/>
          <w:numId w:val="11"/>
        </w:numPr>
        <w:spacing w:after="0" w:line="240" w:lineRule="auto"/>
        <w:ind w:left="1440"/>
        <w:contextualSpacing w:val="0"/>
        <w:rPr>
          <w:rFonts w:eastAsia="Times New Roman"/>
        </w:rPr>
      </w:pPr>
      <w:r>
        <w:rPr>
          <w:rFonts w:eastAsia="Times New Roman"/>
        </w:rPr>
        <w:t>With various phases of re-opening across California, most businesses have reopened and have been gradually moving back to normal operations.   It is difficult to address varying situation with additional, standard adjustments.   WC premium audits are the natural vehicle to reconcile actual changes in exposure and as in-force policies continue to expire, any COVID-related changes will be captured and reflected on the year end audit.   Reductions in addition to what the company has already provided, will be based on actual, audited reductions in risk exposure.</w:t>
      </w:r>
    </w:p>
    <w:p w14:paraId="20670C40" w14:textId="36EC3240" w:rsidR="00243E48" w:rsidRPr="00243E48" w:rsidRDefault="00243E48" w:rsidP="00243E48">
      <w:pPr>
        <w:pStyle w:val="ListParagraph"/>
        <w:numPr>
          <w:ilvl w:val="1"/>
          <w:numId w:val="11"/>
        </w:numPr>
        <w:spacing w:after="0" w:line="240" w:lineRule="auto"/>
        <w:rPr>
          <w:rFonts w:eastAsia="Times New Roman" w:cstheme="minorHAnsi"/>
        </w:rPr>
      </w:pPr>
      <w:r w:rsidRPr="00243E48">
        <w:rPr>
          <w:rFonts w:eastAsia="Times New Roman"/>
        </w:rPr>
        <w:t>In letters to clients who received premium relief for the period of March 19 – June 30, we asked them to contact us if they had additional information for us to consider on a case by case basis.</w:t>
      </w:r>
    </w:p>
    <w:p w14:paraId="63CAB3DF" w14:textId="77777777" w:rsidR="006A0980" w:rsidRPr="006A0980" w:rsidRDefault="006A0980" w:rsidP="006A0980">
      <w:pPr>
        <w:pStyle w:val="NoSpacing"/>
        <w:ind w:left="1440"/>
        <w:rPr>
          <w:rFonts w:cstheme="minorHAnsi"/>
        </w:rPr>
      </w:pPr>
    </w:p>
    <w:p w14:paraId="3558943E" w14:textId="1B97D9F9" w:rsidR="006C2F24" w:rsidRDefault="006C2F24" w:rsidP="00777A52">
      <w:pPr>
        <w:pStyle w:val="NoSpacing"/>
      </w:pPr>
    </w:p>
    <w:p w14:paraId="23056F22" w14:textId="4C3191FB" w:rsidR="00F62070" w:rsidRDefault="0070206D" w:rsidP="00671DAF">
      <w:pPr>
        <w:pStyle w:val="NoSpacing"/>
        <w:rPr>
          <w:b/>
          <w:bCs/>
          <w:sz w:val="28"/>
          <w:szCs w:val="28"/>
          <w:u w:val="single"/>
        </w:rPr>
      </w:pPr>
      <w:r>
        <w:rPr>
          <w:b/>
          <w:bCs/>
          <w:sz w:val="28"/>
          <w:szCs w:val="28"/>
          <w:u w:val="single"/>
        </w:rPr>
        <w:t>Lines of Insurance Not Adversely Impacted</w:t>
      </w:r>
      <w:r w:rsidR="00F34FF2">
        <w:rPr>
          <w:b/>
          <w:bCs/>
          <w:sz w:val="28"/>
          <w:szCs w:val="28"/>
          <w:u w:val="single"/>
        </w:rPr>
        <w:t xml:space="preserve"> for All Writing Companies Listed Above</w:t>
      </w:r>
    </w:p>
    <w:tbl>
      <w:tblPr>
        <w:tblStyle w:val="TableGrid"/>
        <w:tblW w:w="0" w:type="auto"/>
        <w:tblInd w:w="0" w:type="dxa"/>
        <w:tblLook w:val="04A0" w:firstRow="1" w:lastRow="0" w:firstColumn="1" w:lastColumn="0" w:noHBand="0" w:noVBand="1"/>
      </w:tblPr>
      <w:tblGrid>
        <w:gridCol w:w="3685"/>
        <w:gridCol w:w="6210"/>
      </w:tblGrid>
      <w:tr w:rsidR="00B84D26" w:rsidRPr="0016701D" w14:paraId="17140EA6" w14:textId="77777777" w:rsidTr="00671DAF">
        <w:tc>
          <w:tcPr>
            <w:tcW w:w="3685" w:type="dxa"/>
          </w:tcPr>
          <w:p w14:paraId="77C3FE00" w14:textId="77777777" w:rsidR="00B84D26" w:rsidRPr="0016701D" w:rsidRDefault="00B84D26" w:rsidP="00645F1E">
            <w:pPr>
              <w:rPr>
                <w:b/>
                <w:bCs/>
                <w:sz w:val="24"/>
                <w:szCs w:val="24"/>
                <w:highlight w:val="lightGray"/>
              </w:rPr>
            </w:pPr>
          </w:p>
        </w:tc>
        <w:tc>
          <w:tcPr>
            <w:tcW w:w="6210" w:type="dxa"/>
          </w:tcPr>
          <w:p w14:paraId="34F4314C" w14:textId="77777777" w:rsidR="00B84D26" w:rsidRPr="00B84D26" w:rsidRDefault="00B84D26" w:rsidP="00645F1E">
            <w:pPr>
              <w:rPr>
                <w:b/>
                <w:bCs/>
                <w:sz w:val="24"/>
                <w:szCs w:val="24"/>
              </w:rPr>
            </w:pPr>
            <w:r w:rsidRPr="00B84D26">
              <w:rPr>
                <w:b/>
                <w:bCs/>
                <w:sz w:val="24"/>
                <w:szCs w:val="24"/>
              </w:rPr>
              <w:t>REASONS WHY NOT SIGNIFICANTLY IMPACTED</w:t>
            </w:r>
          </w:p>
        </w:tc>
      </w:tr>
      <w:tr w:rsidR="00374414" w:rsidRPr="002C4333" w14:paraId="5913373D" w14:textId="77777777" w:rsidTr="00671DAF">
        <w:tc>
          <w:tcPr>
            <w:tcW w:w="3685" w:type="dxa"/>
          </w:tcPr>
          <w:p w14:paraId="63E3EB58" w14:textId="44F14931" w:rsidR="00374414" w:rsidRPr="00367F7A" w:rsidRDefault="00676274" w:rsidP="00645F1E">
            <w:r w:rsidRPr="00367F7A">
              <w:t>Loss Sensitive Programs</w:t>
            </w:r>
            <w:r w:rsidR="006D6DB1">
              <w:t>:</w:t>
            </w:r>
            <w:r w:rsidRPr="00367F7A">
              <w:t xml:space="preserve"> </w:t>
            </w:r>
            <w:r w:rsidR="006D6DB1">
              <w:t>R</w:t>
            </w:r>
            <w:r w:rsidRPr="00367F7A">
              <w:t>etrospective</w:t>
            </w:r>
            <w:r w:rsidR="006D6DB1">
              <w:t xml:space="preserve">ly rated </w:t>
            </w:r>
            <w:r w:rsidRPr="00367F7A">
              <w:t xml:space="preserve">and </w:t>
            </w:r>
            <w:r w:rsidR="006D6DB1">
              <w:t>l</w:t>
            </w:r>
            <w:r w:rsidR="00374414" w:rsidRPr="00367F7A">
              <w:t xml:space="preserve">arge </w:t>
            </w:r>
            <w:r w:rsidR="006D6DB1">
              <w:t>d</w:t>
            </w:r>
            <w:r w:rsidR="00374414" w:rsidRPr="00367F7A">
              <w:t xml:space="preserve">eductible </w:t>
            </w:r>
            <w:r w:rsidR="006D6DB1">
              <w:t>p</w:t>
            </w:r>
            <w:r w:rsidR="00374414" w:rsidRPr="00367F7A">
              <w:t xml:space="preserve">olicies </w:t>
            </w:r>
            <w:r w:rsidRPr="00367F7A">
              <w:t>(</w:t>
            </w:r>
            <w:r w:rsidR="006D6DB1">
              <w:t xml:space="preserve">Large </w:t>
            </w:r>
            <w:r w:rsidRPr="00676274">
              <w:rPr>
                <w:rFonts w:cstheme="minorHAnsi"/>
              </w:rPr>
              <w:t>deductibles</w:t>
            </w:r>
            <w:r w:rsidR="006D6DB1">
              <w:rPr>
                <w:rFonts w:cstheme="minorHAnsi"/>
              </w:rPr>
              <w:t xml:space="preserve"> are those</w:t>
            </w:r>
            <w:r w:rsidRPr="00676274">
              <w:rPr>
                <w:rFonts w:cstheme="minorHAnsi"/>
              </w:rPr>
              <w:t xml:space="preserve"> of $25,000 or greater for Auto </w:t>
            </w:r>
            <w:r w:rsidR="000F202A">
              <w:rPr>
                <w:rFonts w:cstheme="minorHAnsi"/>
              </w:rPr>
              <w:t xml:space="preserve">Liability </w:t>
            </w:r>
            <w:r w:rsidRPr="00676274">
              <w:rPr>
                <w:rFonts w:cstheme="minorHAnsi"/>
              </w:rPr>
              <w:t>and General Liability a</w:t>
            </w:r>
            <w:r w:rsidRPr="00467DDD">
              <w:rPr>
                <w:rFonts w:cstheme="minorHAnsi"/>
              </w:rPr>
              <w:t>nd of $100,000 or greater for Workers</w:t>
            </w:r>
            <w:r w:rsidR="00671DAF">
              <w:rPr>
                <w:rFonts w:cstheme="minorHAnsi"/>
              </w:rPr>
              <w:t xml:space="preserve"> </w:t>
            </w:r>
            <w:r w:rsidRPr="00467DDD">
              <w:rPr>
                <w:rFonts w:cstheme="minorHAnsi"/>
              </w:rPr>
              <w:t>Compensation)</w:t>
            </w:r>
          </w:p>
        </w:tc>
        <w:tc>
          <w:tcPr>
            <w:tcW w:w="6210" w:type="dxa"/>
          </w:tcPr>
          <w:p w14:paraId="39C86D3B" w14:textId="445DC934" w:rsidR="00374414" w:rsidRDefault="00676274" w:rsidP="00367F7A">
            <w:r w:rsidRPr="00676274">
              <w:t xml:space="preserve">Accounts with loss retentions such as large deductibles or retrospective </w:t>
            </w:r>
            <w:r w:rsidR="00905E18">
              <w:t xml:space="preserve">premium </w:t>
            </w:r>
            <w:r w:rsidRPr="00676274">
              <w:t>rating plans are considered to be out of scope. With a loss-sensitive program design, the insured will directly see reduced insurance cost driven by decreased exposure during the COVID-19 remain-at-home order.</w:t>
            </w:r>
          </w:p>
        </w:tc>
      </w:tr>
      <w:tr w:rsidR="00B84D26" w:rsidRPr="002C4333" w14:paraId="46F51C90" w14:textId="77777777" w:rsidTr="00671DAF">
        <w:tc>
          <w:tcPr>
            <w:tcW w:w="3685" w:type="dxa"/>
          </w:tcPr>
          <w:p w14:paraId="2143A99B" w14:textId="77777777" w:rsidR="00B84D26" w:rsidRDefault="00B84D26" w:rsidP="00645F1E">
            <w:r w:rsidRPr="00367F7A">
              <w:t xml:space="preserve">Property (i.e. - Equipment Breakdown, Scheduled Property Floater) </w:t>
            </w:r>
          </w:p>
          <w:p w14:paraId="77A09FCA" w14:textId="77777777" w:rsidR="00D60103" w:rsidRPr="00D60103" w:rsidRDefault="00D60103" w:rsidP="00D60103"/>
          <w:p w14:paraId="078E0BC8" w14:textId="77777777" w:rsidR="00D60103" w:rsidRPr="00D60103" w:rsidRDefault="00D60103" w:rsidP="00D60103"/>
          <w:p w14:paraId="4F24FB84" w14:textId="77777777" w:rsidR="00D60103" w:rsidRPr="00D60103" w:rsidRDefault="00D60103" w:rsidP="00D60103"/>
          <w:p w14:paraId="06493625" w14:textId="77777777" w:rsidR="00D60103" w:rsidRPr="00D60103" w:rsidRDefault="00D60103" w:rsidP="00D60103"/>
          <w:p w14:paraId="6A5E4C10" w14:textId="77777777" w:rsidR="00D60103" w:rsidRPr="00D60103" w:rsidRDefault="00D60103" w:rsidP="00D60103"/>
          <w:p w14:paraId="09D0601A" w14:textId="77777777" w:rsidR="00D60103" w:rsidRPr="00D60103" w:rsidRDefault="00D60103" w:rsidP="00D60103"/>
          <w:p w14:paraId="121A8938" w14:textId="77777777" w:rsidR="00D60103" w:rsidRPr="00D60103" w:rsidRDefault="00D60103" w:rsidP="00D60103"/>
          <w:p w14:paraId="1B0E9560" w14:textId="77777777" w:rsidR="00D60103" w:rsidRPr="00D60103" w:rsidRDefault="00D60103" w:rsidP="00D60103"/>
          <w:p w14:paraId="26308ECD" w14:textId="77777777" w:rsidR="00D60103" w:rsidRPr="00D60103" w:rsidRDefault="00D60103" w:rsidP="00D60103"/>
          <w:p w14:paraId="35AE77D8" w14:textId="77777777" w:rsidR="00D60103" w:rsidRPr="00D60103" w:rsidRDefault="00D60103" w:rsidP="00D60103"/>
          <w:p w14:paraId="6ABB5141" w14:textId="77777777" w:rsidR="00D60103" w:rsidRPr="00D60103" w:rsidRDefault="00D60103" w:rsidP="00D60103"/>
          <w:p w14:paraId="54602A7B" w14:textId="77777777" w:rsidR="00D60103" w:rsidRPr="00D60103" w:rsidRDefault="00D60103" w:rsidP="00D60103"/>
          <w:p w14:paraId="316B88ED" w14:textId="77777777" w:rsidR="00D60103" w:rsidRPr="00D60103" w:rsidRDefault="00D60103" w:rsidP="00D60103"/>
          <w:p w14:paraId="51BCC17D" w14:textId="77777777" w:rsidR="00D60103" w:rsidRDefault="00D60103" w:rsidP="00D60103"/>
          <w:p w14:paraId="2E3E1D53" w14:textId="77777777" w:rsidR="00D60103" w:rsidRPr="00D60103" w:rsidRDefault="00D60103" w:rsidP="00D60103"/>
          <w:p w14:paraId="01AE08B7" w14:textId="77777777" w:rsidR="00D60103" w:rsidRPr="00D60103" w:rsidRDefault="00D60103" w:rsidP="00D60103"/>
          <w:p w14:paraId="34A89FA2" w14:textId="77777777" w:rsidR="00D60103" w:rsidRPr="00D60103" w:rsidRDefault="00D60103" w:rsidP="00D60103"/>
          <w:p w14:paraId="70CF7722" w14:textId="77777777" w:rsidR="00D60103" w:rsidRPr="00D60103" w:rsidRDefault="00D60103" w:rsidP="00D60103"/>
          <w:p w14:paraId="26CDA2B8" w14:textId="77777777" w:rsidR="00D60103" w:rsidRDefault="00D60103" w:rsidP="00D60103"/>
          <w:p w14:paraId="1957D986" w14:textId="77777777" w:rsidR="00D60103" w:rsidRPr="00D60103" w:rsidRDefault="00D60103" w:rsidP="00D60103"/>
          <w:p w14:paraId="7E04A03D" w14:textId="77777777" w:rsidR="00D60103" w:rsidRDefault="00D60103" w:rsidP="00D60103"/>
          <w:p w14:paraId="78B804A9" w14:textId="77777777" w:rsidR="00D60103" w:rsidRDefault="00D60103" w:rsidP="00D60103"/>
          <w:p w14:paraId="08E2F770" w14:textId="12844E2E" w:rsidR="00D60103" w:rsidRPr="00D60103" w:rsidRDefault="00D60103" w:rsidP="00D60103"/>
        </w:tc>
        <w:tc>
          <w:tcPr>
            <w:tcW w:w="6210" w:type="dxa"/>
          </w:tcPr>
          <w:p w14:paraId="063B269C" w14:textId="0A9E5A87" w:rsidR="00B84D26" w:rsidRDefault="00B84D26" w:rsidP="00367F7A">
            <w:r>
              <w:t xml:space="preserve">The premium for direct physical loss or damage </w:t>
            </w:r>
            <w:r w:rsidR="00864095">
              <w:t xml:space="preserve">to property </w:t>
            </w:r>
            <w:r>
              <w:t xml:space="preserve">(PD) is based on total insured values (TIV) of the insured property. For those insureds that are not in operation, the temporary suspension of operations and vacancy of the premises does not reduce the TIV of the insured property. There is no depreciation in the value of the insured property. In fact, depending on the type of property (vehicles, buildings) the value of the property may appreciate due to its nonuse. The valuation of the insured property is not impacted. If a building is valued at a million dollars prior to the suspension of operations/vacancy, then the building is still valued at the same amount during or after any reopening assuming no covered PD loss. </w:t>
            </w:r>
          </w:p>
          <w:p w14:paraId="2644D483" w14:textId="77777777" w:rsidR="00B84D26" w:rsidRDefault="00B84D26" w:rsidP="00645F1E"/>
          <w:p w14:paraId="39997504" w14:textId="6348183E" w:rsidR="00B84D26" w:rsidRDefault="00B84D26" w:rsidP="00367F7A">
            <w:r>
              <w:t>For those properties where operations are temporar</w:t>
            </w:r>
            <w:r w:rsidR="00B64475">
              <w:t>ily</w:t>
            </w:r>
            <w:r>
              <w:t xml:space="preserve"> suspended or the premises vacated, the risk of PD is greater. The fact that there are no personnel on the premises can result in a greater risk of PD hazards as there is more chances for problems to go undetected like machinery breakdowns, maintenance issues, mechanical failures, theft, vandalism, water damages, fires, etc.  </w:t>
            </w:r>
          </w:p>
          <w:p w14:paraId="66FAD065" w14:textId="77777777" w:rsidR="00723846" w:rsidRDefault="00723846" w:rsidP="00645F1E"/>
          <w:p w14:paraId="3B445170" w14:textId="77777777" w:rsidR="00B84D26" w:rsidRPr="002C4333" w:rsidRDefault="00B84D26" w:rsidP="00367F7A">
            <w:r>
              <w:t xml:space="preserve">The purpose of time element coverage (TE) under a property policy is to pay the insured for its actual loss of revenue based on its operations at the time of the covered PD loss. PD is a trigger for TE and because the risk of PD remains the same or may even be greater at a vacant premise the risk for TE remains </w:t>
            </w:r>
            <w:r>
              <w:lastRenderedPageBreak/>
              <w:t>unchanged.  Further, revenues naturally can fluctuate during the policy period either increasing or decreasing (due to seasonal/market or other reasons) without any impact to the premium charged at policy inception for the entire policy period. The decrease/increase in revenues due to the emergency orders is part of the inherent nature of the purchase of insurance and does not result in a significant decrease in exposure under the policy. </w:t>
            </w:r>
          </w:p>
        </w:tc>
      </w:tr>
      <w:tr w:rsidR="0016701D" w:rsidRPr="00485AC1" w14:paraId="5C886E84" w14:textId="77777777" w:rsidTr="00671DAF">
        <w:tc>
          <w:tcPr>
            <w:tcW w:w="3685" w:type="dxa"/>
          </w:tcPr>
          <w:p w14:paraId="6221AA4F" w14:textId="28DB16B6" w:rsidR="0016701D" w:rsidRPr="004D1A0E" w:rsidRDefault="0016701D" w:rsidP="00645F1E">
            <w:pPr>
              <w:rPr>
                <w:rFonts w:cstheme="minorHAnsi"/>
              </w:rPr>
            </w:pPr>
            <w:r w:rsidRPr="004D1A0E">
              <w:rPr>
                <w:rFonts w:cstheme="minorHAnsi"/>
              </w:rPr>
              <w:lastRenderedPageBreak/>
              <w:t>U</w:t>
            </w:r>
            <w:r w:rsidR="00374414">
              <w:rPr>
                <w:rFonts w:cstheme="minorHAnsi"/>
              </w:rPr>
              <w:t>mbrella and Excess</w:t>
            </w:r>
          </w:p>
        </w:tc>
        <w:tc>
          <w:tcPr>
            <w:tcW w:w="6210" w:type="dxa"/>
          </w:tcPr>
          <w:p w14:paraId="408F8259" w14:textId="14AA3950" w:rsidR="0016701D" w:rsidRPr="004D1A0E" w:rsidRDefault="0016701D" w:rsidP="00645F1E">
            <w:pPr>
              <w:rPr>
                <w:rFonts w:cstheme="minorHAnsi"/>
              </w:rPr>
            </w:pPr>
            <w:r w:rsidRPr="004D1A0E">
              <w:rPr>
                <w:rFonts w:eastAsia="Times New Roman" w:cstheme="minorHAnsi"/>
              </w:rPr>
              <w:t>The severity driven nature of these lines</w:t>
            </w:r>
            <w:r w:rsidR="00723846">
              <w:rPr>
                <w:rFonts w:eastAsia="Times New Roman" w:cstheme="minorHAnsi"/>
              </w:rPr>
              <w:t xml:space="preserve"> is </w:t>
            </w:r>
            <w:r w:rsidRPr="004D1A0E">
              <w:rPr>
                <w:rFonts w:eastAsia="Times New Roman" w:cstheme="minorHAnsi"/>
              </w:rPr>
              <w:t>not subject to frequency claims and thus would not be susceptible to short swings in insured business revenue or operations.</w:t>
            </w:r>
          </w:p>
        </w:tc>
      </w:tr>
      <w:tr w:rsidR="0016701D" w:rsidRPr="00485AC1" w14:paraId="0957DA4C" w14:textId="77777777" w:rsidTr="00671DAF">
        <w:tc>
          <w:tcPr>
            <w:tcW w:w="3685" w:type="dxa"/>
          </w:tcPr>
          <w:p w14:paraId="7904A427" w14:textId="616563F7" w:rsidR="0016701D" w:rsidRPr="004D1A0E" w:rsidRDefault="0016701D" w:rsidP="00645F1E">
            <w:pPr>
              <w:rPr>
                <w:rFonts w:cstheme="minorHAnsi"/>
              </w:rPr>
            </w:pPr>
            <w:r w:rsidRPr="004D1A0E">
              <w:rPr>
                <w:rFonts w:cstheme="minorHAnsi"/>
              </w:rPr>
              <w:t>P</w:t>
            </w:r>
            <w:r w:rsidR="00374414">
              <w:rPr>
                <w:rFonts w:cstheme="minorHAnsi"/>
              </w:rPr>
              <w:t>rofessional Lines and Management Liability</w:t>
            </w:r>
          </w:p>
        </w:tc>
        <w:tc>
          <w:tcPr>
            <w:tcW w:w="6210" w:type="dxa"/>
          </w:tcPr>
          <w:p w14:paraId="421A6314" w14:textId="57F77309" w:rsidR="0016701D" w:rsidRPr="004D1A0E" w:rsidRDefault="0016701D" w:rsidP="002721BF">
            <w:pPr>
              <w:pStyle w:val="ListParagraph"/>
              <w:ind w:left="0"/>
              <w:rPr>
                <w:rFonts w:eastAsia="Times New Roman" w:cstheme="minorHAnsi"/>
              </w:rPr>
            </w:pPr>
            <w:r w:rsidRPr="004D1A0E">
              <w:rPr>
                <w:rFonts w:eastAsia="Times New Roman" w:cstheme="minorHAnsi"/>
              </w:rPr>
              <w:t xml:space="preserve">The COVID-19 Quarantine has not resulted in a substantial decrease in exposure for these lines owing in part to their Claims Made and Reported nature and thus such lines are not in scope.  Further, the only admitted professional lines business we write in </w:t>
            </w:r>
            <w:r w:rsidR="00676274">
              <w:rPr>
                <w:rFonts w:eastAsia="Times New Roman" w:cstheme="minorHAnsi"/>
              </w:rPr>
              <w:t xml:space="preserve">the State </w:t>
            </w:r>
            <w:r w:rsidR="00B64475">
              <w:rPr>
                <w:rFonts w:eastAsia="Times New Roman" w:cstheme="minorHAnsi"/>
              </w:rPr>
              <w:t xml:space="preserve"> </w:t>
            </w:r>
            <w:r w:rsidRPr="004D1A0E">
              <w:rPr>
                <w:rFonts w:eastAsia="Times New Roman" w:cstheme="minorHAnsi"/>
              </w:rPr>
              <w:t xml:space="preserve"> is Insurance Agents and Brokers Errors and Omissions coverage.  Risks associated with that coverage have not significantly decreased as insurance is an essential business and as such brokers and agents continue to provide their services.  COVID-19 also creates potential additional risks for brokers and agents arising from coverage disputes related to COVID-19 claims.  Management Liability exposures have also not decreased significantly in part in that officers and directors face potential added liability exposures relating to their actions in addressing the COVID-19 pandemic. </w:t>
            </w:r>
          </w:p>
        </w:tc>
      </w:tr>
      <w:tr w:rsidR="0016701D" w:rsidRPr="00485AC1" w14:paraId="2A44FFB5" w14:textId="77777777" w:rsidTr="00671DAF">
        <w:tc>
          <w:tcPr>
            <w:tcW w:w="3685" w:type="dxa"/>
          </w:tcPr>
          <w:p w14:paraId="0A5E5BE5" w14:textId="6E268308" w:rsidR="0016701D" w:rsidRPr="00485AC1" w:rsidRDefault="00374414" w:rsidP="00645F1E">
            <w:pPr>
              <w:rPr>
                <w:sz w:val="24"/>
                <w:szCs w:val="24"/>
              </w:rPr>
            </w:pPr>
            <w:r>
              <w:rPr>
                <w:sz w:val="24"/>
                <w:szCs w:val="24"/>
              </w:rPr>
              <w:t>Medical Malpractice Insurance</w:t>
            </w:r>
          </w:p>
        </w:tc>
        <w:tc>
          <w:tcPr>
            <w:tcW w:w="6210" w:type="dxa"/>
          </w:tcPr>
          <w:p w14:paraId="60F82234" w14:textId="0C026AC6" w:rsidR="0016701D" w:rsidRPr="00485AC1" w:rsidRDefault="00374414" w:rsidP="00367F7A">
            <w:pPr>
              <w:pStyle w:val="NoSpacing"/>
              <w:rPr>
                <w:sz w:val="24"/>
                <w:szCs w:val="24"/>
              </w:rPr>
            </w:pPr>
            <w:r>
              <w:t xml:space="preserve">There is no </w:t>
            </w:r>
            <w:r w:rsidR="00671DAF">
              <w:t>CA</w:t>
            </w:r>
            <w:r>
              <w:t xml:space="preserve"> premium for medical malpractice insurance.</w:t>
            </w:r>
          </w:p>
        </w:tc>
      </w:tr>
      <w:tr w:rsidR="00374414" w:rsidRPr="00485AC1" w14:paraId="3078FED2" w14:textId="77777777" w:rsidTr="00671DAF">
        <w:tc>
          <w:tcPr>
            <w:tcW w:w="3685" w:type="dxa"/>
          </w:tcPr>
          <w:p w14:paraId="17111FB1" w14:textId="72C592C8" w:rsidR="00374414" w:rsidRPr="00374414" w:rsidRDefault="00374414" w:rsidP="00374414">
            <w:pPr>
              <w:rPr>
                <w:sz w:val="24"/>
                <w:szCs w:val="24"/>
              </w:rPr>
            </w:pPr>
            <w:r>
              <w:t>Inland Marine Class</w:t>
            </w:r>
          </w:p>
        </w:tc>
        <w:tc>
          <w:tcPr>
            <w:tcW w:w="6210" w:type="dxa"/>
          </w:tcPr>
          <w:p w14:paraId="06F99941" w14:textId="77777777" w:rsidR="00374414" w:rsidRDefault="00374414" w:rsidP="00374414">
            <w:pPr>
              <w:pStyle w:val="NoSpacing"/>
            </w:pPr>
          </w:p>
        </w:tc>
      </w:tr>
      <w:tr w:rsidR="00374414" w:rsidRPr="00485AC1" w14:paraId="37587E06" w14:textId="77777777" w:rsidTr="00671DAF">
        <w:tc>
          <w:tcPr>
            <w:tcW w:w="3685" w:type="dxa"/>
          </w:tcPr>
          <w:p w14:paraId="5B6B00B6" w14:textId="5D47CD0A" w:rsidR="00374414" w:rsidRDefault="00374414" w:rsidP="00367F7A">
            <w:pPr>
              <w:ind w:left="720"/>
              <w:rPr>
                <w:sz w:val="24"/>
                <w:szCs w:val="24"/>
              </w:rPr>
            </w:pPr>
            <w:r w:rsidRPr="009157DB">
              <w:t>Contractor’s Equipment</w:t>
            </w:r>
          </w:p>
        </w:tc>
        <w:tc>
          <w:tcPr>
            <w:tcW w:w="6210" w:type="dxa"/>
          </w:tcPr>
          <w:p w14:paraId="33073A68" w14:textId="2691EC79" w:rsidR="00374414" w:rsidRDefault="00374414" w:rsidP="00374414">
            <w:pPr>
              <w:pStyle w:val="NoSpacing"/>
            </w:pPr>
            <w:r w:rsidRPr="009157DB">
              <w:t>Continue to have exposure and possibly increased; left unattended and no one monitoring for protection.</w:t>
            </w:r>
          </w:p>
        </w:tc>
      </w:tr>
      <w:tr w:rsidR="00374414" w:rsidRPr="00485AC1" w14:paraId="7F622DB1" w14:textId="77777777" w:rsidTr="00671DAF">
        <w:tc>
          <w:tcPr>
            <w:tcW w:w="3685" w:type="dxa"/>
          </w:tcPr>
          <w:p w14:paraId="3BE9F1F9" w14:textId="4729B0C1" w:rsidR="00374414" w:rsidRDefault="00374414" w:rsidP="00367F7A">
            <w:pPr>
              <w:ind w:left="720"/>
              <w:rPr>
                <w:sz w:val="24"/>
                <w:szCs w:val="24"/>
              </w:rPr>
            </w:pPr>
            <w:r w:rsidRPr="009157DB">
              <w:t>EDP / Computer Equipment</w:t>
            </w:r>
          </w:p>
        </w:tc>
        <w:tc>
          <w:tcPr>
            <w:tcW w:w="6210" w:type="dxa"/>
          </w:tcPr>
          <w:p w14:paraId="18F4B8CC" w14:textId="256EAAF1" w:rsidR="00374414" w:rsidRDefault="00374414" w:rsidP="00374414">
            <w:pPr>
              <w:pStyle w:val="NoSpacing"/>
            </w:pPr>
            <w:r w:rsidRPr="009157DB">
              <w:t xml:space="preserve">Exposure continues; arguably increased. Still operating remotely most likely and there is no one there to monitor it for protection if a business is shut down. </w:t>
            </w:r>
          </w:p>
        </w:tc>
      </w:tr>
      <w:tr w:rsidR="00374414" w:rsidRPr="00485AC1" w14:paraId="4A546BDA" w14:textId="77777777" w:rsidTr="00671DAF">
        <w:tc>
          <w:tcPr>
            <w:tcW w:w="3685" w:type="dxa"/>
          </w:tcPr>
          <w:p w14:paraId="29F13B12" w14:textId="21A09653" w:rsidR="00374414" w:rsidRDefault="00374414" w:rsidP="00367F7A">
            <w:pPr>
              <w:ind w:left="720"/>
              <w:rPr>
                <w:sz w:val="24"/>
                <w:szCs w:val="24"/>
              </w:rPr>
            </w:pPr>
            <w:r w:rsidRPr="009157DB">
              <w:t>MTC, Contingent Cargo, Transit, Trip Transit</w:t>
            </w:r>
          </w:p>
        </w:tc>
        <w:tc>
          <w:tcPr>
            <w:tcW w:w="6210" w:type="dxa"/>
          </w:tcPr>
          <w:p w14:paraId="2673FA42" w14:textId="28B3BF87" w:rsidR="00374414" w:rsidRDefault="00374414" w:rsidP="00374414">
            <w:pPr>
              <w:pStyle w:val="NoSpacing"/>
            </w:pPr>
            <w:r w:rsidRPr="009157DB">
              <w:t xml:space="preserve">Exposure continues and have possibly increased. Due to loosened DOT requirements on driving hours plus the general state of shipping a return premium is not in order. </w:t>
            </w:r>
          </w:p>
        </w:tc>
      </w:tr>
      <w:tr w:rsidR="00374414" w:rsidRPr="00485AC1" w14:paraId="58932267" w14:textId="77777777" w:rsidTr="00671DAF">
        <w:tc>
          <w:tcPr>
            <w:tcW w:w="3685" w:type="dxa"/>
          </w:tcPr>
          <w:p w14:paraId="005BF15C" w14:textId="12C75B90" w:rsidR="00374414" w:rsidRDefault="00374414" w:rsidP="00367F7A">
            <w:pPr>
              <w:ind w:left="720"/>
              <w:rPr>
                <w:sz w:val="24"/>
                <w:szCs w:val="24"/>
              </w:rPr>
            </w:pPr>
            <w:r w:rsidRPr="009157DB">
              <w:t>WHLL – Warehouse Legal Liability</w:t>
            </w:r>
          </w:p>
        </w:tc>
        <w:tc>
          <w:tcPr>
            <w:tcW w:w="6210" w:type="dxa"/>
          </w:tcPr>
          <w:p w14:paraId="6246FE35" w14:textId="5D3BA423" w:rsidR="00374414" w:rsidRDefault="00374414" w:rsidP="00374414">
            <w:pPr>
              <w:pStyle w:val="NoSpacing"/>
            </w:pPr>
            <w:r w:rsidRPr="009157DB">
              <w:t>This exposure has likely increase</w:t>
            </w:r>
            <w:r w:rsidR="00995382">
              <w:t>d</w:t>
            </w:r>
            <w:r w:rsidRPr="009157DB">
              <w:t xml:space="preserve"> in most cases or minimally remained the same since either warehouses are more active or nothing is moving out of them. </w:t>
            </w:r>
          </w:p>
        </w:tc>
      </w:tr>
      <w:tr w:rsidR="00374414" w:rsidRPr="00723846" w14:paraId="61484E75" w14:textId="77777777" w:rsidTr="00671DAF">
        <w:tc>
          <w:tcPr>
            <w:tcW w:w="3685" w:type="dxa"/>
          </w:tcPr>
          <w:p w14:paraId="5BDB1AEA" w14:textId="5F992CA6" w:rsidR="00374414" w:rsidRPr="00367F7A" w:rsidRDefault="00374414" w:rsidP="00367F7A">
            <w:pPr>
              <w:ind w:left="720"/>
            </w:pPr>
            <w:r w:rsidRPr="00723846">
              <w:t>Builders’ Risk, Installation Floater</w:t>
            </w:r>
          </w:p>
        </w:tc>
        <w:tc>
          <w:tcPr>
            <w:tcW w:w="6210" w:type="dxa"/>
          </w:tcPr>
          <w:p w14:paraId="7FA46875" w14:textId="1252B65F" w:rsidR="00374414" w:rsidRPr="00723846" w:rsidRDefault="00374414" w:rsidP="00374414">
            <w:pPr>
              <w:pStyle w:val="NoSpacing"/>
            </w:pPr>
            <w:r w:rsidRPr="00723846">
              <w:t xml:space="preserve">Exposure continues and possibly increased. The site/location is possibly shut down and there is no one there to monitor protection.  </w:t>
            </w:r>
          </w:p>
        </w:tc>
      </w:tr>
      <w:tr w:rsidR="00723846" w:rsidRPr="00723846" w14:paraId="54729496" w14:textId="77777777" w:rsidTr="00671DAF">
        <w:tc>
          <w:tcPr>
            <w:tcW w:w="3685" w:type="dxa"/>
            <w:vMerge w:val="restart"/>
          </w:tcPr>
          <w:p w14:paraId="4E8F9564" w14:textId="3E511313" w:rsidR="00723846" w:rsidRPr="00723846" w:rsidRDefault="00723846" w:rsidP="00723846">
            <w:pPr>
              <w:pStyle w:val="NoSpacing"/>
            </w:pPr>
            <w:bookmarkStart w:id="1" w:name="_Hlk41477589"/>
            <w:r w:rsidRPr="00723846">
              <w:t>Ocean Marine</w:t>
            </w:r>
          </w:p>
          <w:p w14:paraId="218FCF2E" w14:textId="4755A14F" w:rsidR="00723846" w:rsidRPr="00723846" w:rsidRDefault="00723846" w:rsidP="00723846">
            <w:pPr>
              <w:pStyle w:val="NoSpacing"/>
            </w:pPr>
          </w:p>
        </w:tc>
        <w:tc>
          <w:tcPr>
            <w:tcW w:w="6210" w:type="dxa"/>
          </w:tcPr>
          <w:p w14:paraId="250BE590" w14:textId="3B1A32A2" w:rsidR="00723846" w:rsidRPr="00723846" w:rsidRDefault="00723846" w:rsidP="00723846">
            <w:pPr>
              <w:pStyle w:val="NoSpacing"/>
            </w:pPr>
            <w:r w:rsidRPr="00367F7A">
              <w:t xml:space="preserve">Cargo - Most of the accounts are on a reporting basis so they will self-regulate.  </w:t>
            </w:r>
          </w:p>
        </w:tc>
      </w:tr>
      <w:tr w:rsidR="00723846" w:rsidRPr="00723846" w14:paraId="38DDA2C6" w14:textId="77777777" w:rsidTr="00671DAF">
        <w:tc>
          <w:tcPr>
            <w:tcW w:w="3685" w:type="dxa"/>
            <w:vMerge/>
          </w:tcPr>
          <w:p w14:paraId="4ABB1F13" w14:textId="27AA6273" w:rsidR="00723846" w:rsidRPr="00723846" w:rsidRDefault="00723846" w:rsidP="00723846">
            <w:pPr>
              <w:pStyle w:val="NoSpacing"/>
            </w:pPr>
          </w:p>
        </w:tc>
        <w:tc>
          <w:tcPr>
            <w:tcW w:w="6210" w:type="dxa"/>
          </w:tcPr>
          <w:p w14:paraId="07A3FAEA" w14:textId="77155002" w:rsidR="00723846" w:rsidRPr="00723846" w:rsidRDefault="00723846" w:rsidP="00723846">
            <w:pPr>
              <w:pStyle w:val="NoSpacing"/>
            </w:pPr>
            <w:r w:rsidRPr="00367F7A">
              <w:t>Hull – Lay-up credits are given for ships in port.</w:t>
            </w:r>
          </w:p>
        </w:tc>
      </w:tr>
      <w:tr w:rsidR="00723846" w:rsidRPr="00723846" w14:paraId="085BDE50" w14:textId="77777777" w:rsidTr="00671DAF">
        <w:tc>
          <w:tcPr>
            <w:tcW w:w="3685" w:type="dxa"/>
          </w:tcPr>
          <w:p w14:paraId="5A5BE518" w14:textId="32F9A284" w:rsidR="00723846" w:rsidRPr="00723846" w:rsidRDefault="00723846">
            <w:pPr>
              <w:pStyle w:val="NoSpacing"/>
            </w:pPr>
            <w:r w:rsidRPr="00723846">
              <w:t xml:space="preserve">Aviation </w:t>
            </w:r>
          </w:p>
        </w:tc>
        <w:tc>
          <w:tcPr>
            <w:tcW w:w="6210" w:type="dxa"/>
          </w:tcPr>
          <w:p w14:paraId="1270B1A6" w14:textId="6783B4B6" w:rsidR="00723846" w:rsidRPr="00367F7A" w:rsidRDefault="00723846" w:rsidP="00723846">
            <w:pPr>
              <w:pStyle w:val="NoSpacing"/>
            </w:pPr>
            <w:r w:rsidRPr="00367F7A">
              <w:t>Lay-up credits are given for aircrafts that are grounded for 30 consecutive days or more.</w:t>
            </w:r>
          </w:p>
        </w:tc>
      </w:tr>
      <w:bookmarkEnd w:id="1"/>
    </w:tbl>
    <w:p w14:paraId="38BCC431" w14:textId="0F5FFF55" w:rsidR="002C4333" w:rsidRDefault="002C4333" w:rsidP="00777A52">
      <w:pPr>
        <w:pStyle w:val="NoSpacing"/>
      </w:pPr>
    </w:p>
    <w:sectPr w:rsidR="002C4333" w:rsidSect="009D69F1">
      <w:footerReference w:type="default" r:id="rId7"/>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E41A3" w14:textId="77777777" w:rsidR="001856AB" w:rsidRDefault="001856AB" w:rsidP="0024565D">
      <w:pPr>
        <w:spacing w:after="0" w:line="240" w:lineRule="auto"/>
      </w:pPr>
      <w:r>
        <w:separator/>
      </w:r>
    </w:p>
  </w:endnote>
  <w:endnote w:type="continuationSeparator" w:id="0">
    <w:p w14:paraId="5A1FD7A5" w14:textId="77777777" w:rsidR="001856AB" w:rsidRDefault="001856AB" w:rsidP="00245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CBEA" w14:textId="4A5DA632" w:rsidR="0024565D" w:rsidRDefault="00D60103">
    <w:pPr>
      <w:pStyle w:val="Footer"/>
    </w:pPr>
    <w:r>
      <w:t>10/1/2020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EFDFF" w14:textId="77777777" w:rsidR="001856AB" w:rsidRDefault="001856AB" w:rsidP="0024565D">
      <w:pPr>
        <w:spacing w:after="0" w:line="240" w:lineRule="auto"/>
      </w:pPr>
      <w:r>
        <w:separator/>
      </w:r>
    </w:p>
  </w:footnote>
  <w:footnote w:type="continuationSeparator" w:id="0">
    <w:p w14:paraId="4C923F28" w14:textId="77777777" w:rsidR="001856AB" w:rsidRDefault="001856AB" w:rsidP="002456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E7AD5"/>
    <w:multiLevelType w:val="hybridMultilevel"/>
    <w:tmpl w:val="A50066F2"/>
    <w:lvl w:ilvl="0" w:tplc="9D6E07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F4B01"/>
    <w:multiLevelType w:val="hybridMultilevel"/>
    <w:tmpl w:val="8F82D816"/>
    <w:lvl w:ilvl="0" w:tplc="7AACBBD6">
      <w:start w:val="1"/>
      <w:numFmt w:val="upperLetter"/>
      <w:lvlText w:val="%1."/>
      <w:lvlJc w:val="left"/>
      <w:pPr>
        <w:ind w:left="72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5023AE2"/>
    <w:multiLevelType w:val="hybridMultilevel"/>
    <w:tmpl w:val="4414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B16AB"/>
    <w:multiLevelType w:val="hybridMultilevel"/>
    <w:tmpl w:val="F38E2D2E"/>
    <w:lvl w:ilvl="0" w:tplc="6FA201D8">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1823341"/>
    <w:multiLevelType w:val="hybridMultilevel"/>
    <w:tmpl w:val="2482F740"/>
    <w:lvl w:ilvl="0" w:tplc="C52CCFB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374E28"/>
    <w:multiLevelType w:val="hybridMultilevel"/>
    <w:tmpl w:val="41D889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8C68BD"/>
    <w:multiLevelType w:val="hybridMultilevel"/>
    <w:tmpl w:val="D0D2C89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C42591"/>
    <w:multiLevelType w:val="hybridMultilevel"/>
    <w:tmpl w:val="DB6C820E"/>
    <w:lvl w:ilvl="0" w:tplc="FBAA44A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E09726D"/>
    <w:multiLevelType w:val="hybridMultilevel"/>
    <w:tmpl w:val="FDC062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4"/>
  </w:num>
  <w:num w:numId="6">
    <w:abstractNumId w:val="6"/>
  </w:num>
  <w:num w:numId="7">
    <w:abstractNumId w:val="0"/>
  </w:num>
  <w:num w:numId="8">
    <w:abstractNumId w:val="1"/>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A52"/>
    <w:rsid w:val="000A5E81"/>
    <w:rsid w:val="000F0B2C"/>
    <w:rsid w:val="000F202A"/>
    <w:rsid w:val="00142F74"/>
    <w:rsid w:val="0016701D"/>
    <w:rsid w:val="001823F6"/>
    <w:rsid w:val="001856AB"/>
    <w:rsid w:val="001C39BD"/>
    <w:rsid w:val="00233719"/>
    <w:rsid w:val="00243E48"/>
    <w:rsid w:val="0024565D"/>
    <w:rsid w:val="002721BF"/>
    <w:rsid w:val="002B22BB"/>
    <w:rsid w:val="002C4333"/>
    <w:rsid w:val="002F6E59"/>
    <w:rsid w:val="00367F7A"/>
    <w:rsid w:val="00374414"/>
    <w:rsid w:val="003A7D6E"/>
    <w:rsid w:val="00422BB3"/>
    <w:rsid w:val="00437CF5"/>
    <w:rsid w:val="00467DDD"/>
    <w:rsid w:val="00492A14"/>
    <w:rsid w:val="004A3B40"/>
    <w:rsid w:val="004C6880"/>
    <w:rsid w:val="004D1A0E"/>
    <w:rsid w:val="00503A86"/>
    <w:rsid w:val="00512618"/>
    <w:rsid w:val="00545025"/>
    <w:rsid w:val="00571ED4"/>
    <w:rsid w:val="00583B66"/>
    <w:rsid w:val="005952B6"/>
    <w:rsid w:val="005A110E"/>
    <w:rsid w:val="00671DAF"/>
    <w:rsid w:val="00676274"/>
    <w:rsid w:val="006A0980"/>
    <w:rsid w:val="006C2F24"/>
    <w:rsid w:val="006D6DB1"/>
    <w:rsid w:val="006E3A8A"/>
    <w:rsid w:val="0070206D"/>
    <w:rsid w:val="00723846"/>
    <w:rsid w:val="00777A52"/>
    <w:rsid w:val="007A1D2F"/>
    <w:rsid w:val="007E5975"/>
    <w:rsid w:val="00864095"/>
    <w:rsid w:val="00871DBE"/>
    <w:rsid w:val="00884879"/>
    <w:rsid w:val="00886403"/>
    <w:rsid w:val="008E71AB"/>
    <w:rsid w:val="00905E18"/>
    <w:rsid w:val="00995382"/>
    <w:rsid w:val="009D69F1"/>
    <w:rsid w:val="00A9645C"/>
    <w:rsid w:val="00AA29EC"/>
    <w:rsid w:val="00AF11E3"/>
    <w:rsid w:val="00B64475"/>
    <w:rsid w:val="00B84D26"/>
    <w:rsid w:val="00BD7A5B"/>
    <w:rsid w:val="00C23D21"/>
    <w:rsid w:val="00C44676"/>
    <w:rsid w:val="00C44944"/>
    <w:rsid w:val="00C73C4A"/>
    <w:rsid w:val="00C75AC3"/>
    <w:rsid w:val="00D60103"/>
    <w:rsid w:val="00D92AEF"/>
    <w:rsid w:val="00DC4202"/>
    <w:rsid w:val="00E10FE2"/>
    <w:rsid w:val="00F34FF2"/>
    <w:rsid w:val="00F62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E72AD"/>
  <w15:chartTrackingRefBased/>
  <w15:docId w15:val="{D90A156A-C74D-431D-86A6-2C584E31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7A52"/>
    <w:pPr>
      <w:spacing w:after="0" w:line="240" w:lineRule="auto"/>
    </w:pPr>
  </w:style>
  <w:style w:type="table" w:styleId="TableGrid">
    <w:name w:val="Table Grid"/>
    <w:basedOn w:val="TableNormal"/>
    <w:uiPriority w:val="39"/>
    <w:rsid w:val="002C43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333"/>
    <w:pPr>
      <w:ind w:left="720"/>
      <w:contextualSpacing/>
    </w:pPr>
  </w:style>
  <w:style w:type="paragraph" w:styleId="BalloonText">
    <w:name w:val="Balloon Text"/>
    <w:basedOn w:val="Normal"/>
    <w:link w:val="BalloonTextChar"/>
    <w:uiPriority w:val="99"/>
    <w:semiHidden/>
    <w:unhideWhenUsed/>
    <w:rsid w:val="002C4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4333"/>
    <w:rPr>
      <w:rFonts w:ascii="Segoe UI" w:hAnsi="Segoe UI" w:cs="Segoe UI"/>
      <w:sz w:val="18"/>
      <w:szCs w:val="18"/>
    </w:rPr>
  </w:style>
  <w:style w:type="character" w:styleId="CommentReference">
    <w:name w:val="annotation reference"/>
    <w:basedOn w:val="DefaultParagraphFont"/>
    <w:uiPriority w:val="99"/>
    <w:semiHidden/>
    <w:unhideWhenUsed/>
    <w:rsid w:val="002C4333"/>
    <w:rPr>
      <w:sz w:val="16"/>
      <w:szCs w:val="16"/>
    </w:rPr>
  </w:style>
  <w:style w:type="paragraph" w:styleId="CommentText">
    <w:name w:val="annotation text"/>
    <w:basedOn w:val="Normal"/>
    <w:link w:val="CommentTextChar"/>
    <w:uiPriority w:val="99"/>
    <w:semiHidden/>
    <w:unhideWhenUsed/>
    <w:rsid w:val="002C4333"/>
    <w:pPr>
      <w:spacing w:line="240" w:lineRule="auto"/>
    </w:pPr>
    <w:rPr>
      <w:sz w:val="20"/>
      <w:szCs w:val="20"/>
    </w:rPr>
  </w:style>
  <w:style w:type="character" w:customStyle="1" w:styleId="CommentTextChar">
    <w:name w:val="Comment Text Char"/>
    <w:basedOn w:val="DefaultParagraphFont"/>
    <w:link w:val="CommentText"/>
    <w:uiPriority w:val="99"/>
    <w:semiHidden/>
    <w:rsid w:val="002C4333"/>
    <w:rPr>
      <w:sz w:val="20"/>
      <w:szCs w:val="20"/>
    </w:rPr>
  </w:style>
  <w:style w:type="paragraph" w:styleId="Header">
    <w:name w:val="header"/>
    <w:basedOn w:val="Normal"/>
    <w:link w:val="HeaderChar"/>
    <w:uiPriority w:val="99"/>
    <w:unhideWhenUsed/>
    <w:rsid w:val="002456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65D"/>
  </w:style>
  <w:style w:type="paragraph" w:styleId="Footer">
    <w:name w:val="footer"/>
    <w:basedOn w:val="Normal"/>
    <w:link w:val="FooterChar"/>
    <w:uiPriority w:val="99"/>
    <w:unhideWhenUsed/>
    <w:rsid w:val="002456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65D"/>
  </w:style>
  <w:style w:type="paragraph" w:styleId="CommentSubject">
    <w:name w:val="annotation subject"/>
    <w:basedOn w:val="CommentText"/>
    <w:next w:val="CommentText"/>
    <w:link w:val="CommentSubjectChar"/>
    <w:uiPriority w:val="99"/>
    <w:semiHidden/>
    <w:unhideWhenUsed/>
    <w:rsid w:val="00D92AEF"/>
    <w:rPr>
      <w:b/>
      <w:bCs/>
    </w:rPr>
  </w:style>
  <w:style w:type="character" w:customStyle="1" w:styleId="CommentSubjectChar">
    <w:name w:val="Comment Subject Char"/>
    <w:basedOn w:val="CommentTextChar"/>
    <w:link w:val="CommentSubject"/>
    <w:uiPriority w:val="99"/>
    <w:semiHidden/>
    <w:rsid w:val="00D92A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927215">
      <w:bodyDiv w:val="1"/>
      <w:marLeft w:val="0"/>
      <w:marRight w:val="0"/>
      <w:marTop w:val="0"/>
      <w:marBottom w:val="0"/>
      <w:divBdr>
        <w:top w:val="none" w:sz="0" w:space="0" w:color="auto"/>
        <w:left w:val="none" w:sz="0" w:space="0" w:color="auto"/>
        <w:bottom w:val="none" w:sz="0" w:space="0" w:color="auto"/>
        <w:right w:val="none" w:sz="0" w:space="0" w:color="auto"/>
      </w:divBdr>
    </w:div>
    <w:div w:id="535122597">
      <w:bodyDiv w:val="1"/>
      <w:marLeft w:val="0"/>
      <w:marRight w:val="0"/>
      <w:marTop w:val="0"/>
      <w:marBottom w:val="0"/>
      <w:divBdr>
        <w:top w:val="none" w:sz="0" w:space="0" w:color="auto"/>
        <w:left w:val="none" w:sz="0" w:space="0" w:color="auto"/>
        <w:bottom w:val="none" w:sz="0" w:space="0" w:color="auto"/>
        <w:right w:val="none" w:sz="0" w:space="0" w:color="auto"/>
      </w:divBdr>
    </w:div>
    <w:div w:id="551623949">
      <w:bodyDiv w:val="1"/>
      <w:marLeft w:val="0"/>
      <w:marRight w:val="0"/>
      <w:marTop w:val="0"/>
      <w:marBottom w:val="0"/>
      <w:divBdr>
        <w:top w:val="none" w:sz="0" w:space="0" w:color="auto"/>
        <w:left w:val="none" w:sz="0" w:space="0" w:color="auto"/>
        <w:bottom w:val="none" w:sz="0" w:space="0" w:color="auto"/>
        <w:right w:val="none" w:sz="0" w:space="0" w:color="auto"/>
      </w:divBdr>
    </w:div>
    <w:div w:id="1136677392">
      <w:bodyDiv w:val="1"/>
      <w:marLeft w:val="0"/>
      <w:marRight w:val="0"/>
      <w:marTop w:val="0"/>
      <w:marBottom w:val="0"/>
      <w:divBdr>
        <w:top w:val="none" w:sz="0" w:space="0" w:color="auto"/>
        <w:left w:val="none" w:sz="0" w:space="0" w:color="auto"/>
        <w:bottom w:val="none" w:sz="0" w:space="0" w:color="auto"/>
        <w:right w:val="none" w:sz="0" w:space="0" w:color="auto"/>
      </w:divBdr>
    </w:div>
    <w:div w:id="1377122016">
      <w:bodyDiv w:val="1"/>
      <w:marLeft w:val="0"/>
      <w:marRight w:val="0"/>
      <w:marTop w:val="0"/>
      <w:marBottom w:val="0"/>
      <w:divBdr>
        <w:top w:val="none" w:sz="0" w:space="0" w:color="auto"/>
        <w:left w:val="none" w:sz="0" w:space="0" w:color="auto"/>
        <w:bottom w:val="none" w:sz="0" w:space="0" w:color="auto"/>
        <w:right w:val="none" w:sz="0" w:space="0" w:color="auto"/>
      </w:divBdr>
    </w:div>
    <w:div w:id="1415198627">
      <w:bodyDiv w:val="1"/>
      <w:marLeft w:val="0"/>
      <w:marRight w:val="0"/>
      <w:marTop w:val="0"/>
      <w:marBottom w:val="0"/>
      <w:divBdr>
        <w:top w:val="none" w:sz="0" w:space="0" w:color="auto"/>
        <w:left w:val="none" w:sz="0" w:space="0" w:color="auto"/>
        <w:bottom w:val="none" w:sz="0" w:space="0" w:color="auto"/>
        <w:right w:val="none" w:sz="0" w:space="0" w:color="auto"/>
      </w:divBdr>
    </w:div>
    <w:div w:id="1775637540">
      <w:bodyDiv w:val="1"/>
      <w:marLeft w:val="0"/>
      <w:marRight w:val="0"/>
      <w:marTop w:val="0"/>
      <w:marBottom w:val="0"/>
      <w:divBdr>
        <w:top w:val="none" w:sz="0" w:space="0" w:color="auto"/>
        <w:left w:val="none" w:sz="0" w:space="0" w:color="auto"/>
        <w:bottom w:val="none" w:sz="0" w:space="0" w:color="auto"/>
        <w:right w:val="none" w:sz="0" w:space="0" w:color="auto"/>
      </w:divBdr>
    </w:div>
    <w:div w:id="18518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1503</Words>
  <Characters>8568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Linda</dc:creator>
  <cp:keywords/>
  <dc:description/>
  <cp:lastModifiedBy>Moon, Linda</cp:lastModifiedBy>
  <cp:revision>2</cp:revision>
  <dcterms:created xsi:type="dcterms:W3CDTF">2020-10-01T19:13:00Z</dcterms:created>
  <dcterms:modified xsi:type="dcterms:W3CDTF">2020-10-01T19:13:00Z</dcterms:modified>
</cp:coreProperties>
</file>