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5743" w14:textId="03E3093C" w:rsidR="00777A52" w:rsidRPr="00B84D26" w:rsidRDefault="00671DAF" w:rsidP="005A110E">
      <w:pPr>
        <w:rPr>
          <w:b/>
          <w:bCs/>
          <w:sz w:val="28"/>
          <w:szCs w:val="28"/>
        </w:rPr>
      </w:pPr>
      <w:r>
        <w:rPr>
          <w:b/>
          <w:bCs/>
          <w:sz w:val="28"/>
          <w:szCs w:val="28"/>
        </w:rPr>
        <w:t>CALIFORNIA</w:t>
      </w:r>
      <w:r w:rsidR="00777A52" w:rsidRPr="00B84D26">
        <w:rPr>
          <w:b/>
          <w:bCs/>
          <w:sz w:val="28"/>
          <w:szCs w:val="28"/>
        </w:rPr>
        <w:t xml:space="preserve"> - BULLETIN 20</w:t>
      </w:r>
      <w:r>
        <w:rPr>
          <w:b/>
          <w:bCs/>
          <w:sz w:val="28"/>
          <w:szCs w:val="28"/>
        </w:rPr>
        <w:t>20</w:t>
      </w:r>
      <w:r w:rsidR="00777A52" w:rsidRPr="00B84D26">
        <w:rPr>
          <w:b/>
          <w:bCs/>
          <w:sz w:val="28"/>
          <w:szCs w:val="28"/>
        </w:rPr>
        <w:t>-</w:t>
      </w:r>
      <w:r>
        <w:rPr>
          <w:b/>
          <w:bCs/>
          <w:sz w:val="28"/>
          <w:szCs w:val="28"/>
        </w:rPr>
        <w:t>3</w:t>
      </w:r>
      <w:r w:rsidR="00E10FE2">
        <w:rPr>
          <w:b/>
          <w:bCs/>
          <w:sz w:val="28"/>
          <w:szCs w:val="28"/>
        </w:rPr>
        <w:t xml:space="preserve"> and BULLETIN 2020-4</w:t>
      </w:r>
      <w:r>
        <w:rPr>
          <w:b/>
          <w:bCs/>
          <w:sz w:val="28"/>
          <w:szCs w:val="28"/>
        </w:rPr>
        <w:t xml:space="preserve"> –</w:t>
      </w:r>
      <w:r w:rsidR="005A110E" w:rsidRPr="00B84D26">
        <w:rPr>
          <w:b/>
          <w:bCs/>
          <w:sz w:val="28"/>
          <w:szCs w:val="28"/>
        </w:rPr>
        <w:t xml:space="preserve"> </w:t>
      </w:r>
      <w:r>
        <w:rPr>
          <w:b/>
          <w:bCs/>
          <w:sz w:val="28"/>
          <w:szCs w:val="28"/>
        </w:rPr>
        <w:t xml:space="preserve">Explanatory Memorandum – </w:t>
      </w:r>
      <w:r w:rsidR="00437CF5">
        <w:rPr>
          <w:b/>
          <w:bCs/>
          <w:sz w:val="28"/>
          <w:szCs w:val="28"/>
        </w:rPr>
        <w:t>Section</w:t>
      </w:r>
      <w:r>
        <w:rPr>
          <w:b/>
          <w:bCs/>
          <w:sz w:val="28"/>
          <w:szCs w:val="28"/>
        </w:rPr>
        <w:t xml:space="preserve"> </w:t>
      </w:r>
      <w:r w:rsidR="00C75AC3">
        <w:rPr>
          <w:b/>
          <w:bCs/>
          <w:sz w:val="28"/>
          <w:szCs w:val="28"/>
        </w:rPr>
        <w:t>I</w:t>
      </w:r>
      <w:r>
        <w:rPr>
          <w:b/>
          <w:bCs/>
          <w:sz w:val="28"/>
          <w:szCs w:val="28"/>
        </w:rPr>
        <w:t xml:space="preserve"> </w:t>
      </w:r>
      <w:r w:rsidR="00777A52" w:rsidRPr="00B84D26">
        <w:rPr>
          <w:b/>
          <w:bCs/>
          <w:sz w:val="28"/>
          <w:szCs w:val="28"/>
        </w:rPr>
        <w:t>SOMPO INTERNATIONAL RESPONSE – NAIC GROUP 3219</w:t>
      </w:r>
    </w:p>
    <w:p w14:paraId="2967B59B" w14:textId="0AAECC9C" w:rsidR="00777A52" w:rsidRDefault="00777A52" w:rsidP="00777A52">
      <w:pPr>
        <w:pStyle w:val="NoSpacing"/>
      </w:pPr>
    </w:p>
    <w:p w14:paraId="072589BE" w14:textId="30C98BA9" w:rsidR="00233719" w:rsidRDefault="00233719" w:rsidP="00777A52">
      <w:pPr>
        <w:pStyle w:val="NoSpacing"/>
      </w:pPr>
      <w:r>
        <w:t xml:space="preserve">As ordered in </w:t>
      </w:r>
      <w:r w:rsidR="00671DAF">
        <w:t>California</w:t>
      </w:r>
      <w:r w:rsidR="006C2F24">
        <w:t xml:space="preserve"> </w:t>
      </w:r>
      <w:r>
        <w:t>Bulletin 20</w:t>
      </w:r>
      <w:r w:rsidR="00671DAF">
        <w:t>20</w:t>
      </w:r>
      <w:r>
        <w:t>-</w:t>
      </w:r>
      <w:r w:rsidR="00671DAF">
        <w:t>3</w:t>
      </w:r>
      <w:r w:rsidR="00E10FE2">
        <w:t xml:space="preserve"> and Bulletin 2020-4</w:t>
      </w:r>
      <w:r w:rsidR="00671DAF">
        <w:t>,</w:t>
      </w:r>
      <w:r>
        <w:t xml:space="preserve"> the </w:t>
      </w:r>
      <w:r w:rsidR="00671DAF">
        <w:t xml:space="preserve">Explanatory Memorandum </w:t>
      </w:r>
      <w:r>
        <w:t xml:space="preserve">response </w:t>
      </w:r>
      <w:r w:rsidR="00671DAF">
        <w:t xml:space="preserve">to </w:t>
      </w:r>
      <w:r w:rsidR="00437CF5">
        <w:t>Section</w:t>
      </w:r>
      <w:r w:rsidR="00671DAF">
        <w:t xml:space="preserve"> </w:t>
      </w:r>
      <w:r w:rsidR="00C75AC3">
        <w:t>I</w:t>
      </w:r>
      <w:r w:rsidR="00671DAF">
        <w:t xml:space="preserve"> </w:t>
      </w:r>
      <w:r>
        <w:t xml:space="preserve">for the following companies in the Sompo International Group </w:t>
      </w:r>
      <w:r w:rsidR="00BD7A5B">
        <w:t>(NAIC 3219)</w:t>
      </w:r>
      <w:r w:rsidR="00671DAF">
        <w:t xml:space="preserve"> is below.</w:t>
      </w:r>
      <w:r>
        <w:t xml:space="preserve"> </w:t>
      </w:r>
    </w:p>
    <w:p w14:paraId="0D818DBD" w14:textId="66059CAA" w:rsidR="007E5975" w:rsidRDefault="007E5975" w:rsidP="00BD7A5B">
      <w:pPr>
        <w:pStyle w:val="NoSpacing"/>
        <w:ind w:left="720"/>
      </w:pPr>
      <w:r>
        <w:t xml:space="preserve">Endurance Assurance Corporation </w:t>
      </w:r>
      <w:r w:rsidR="00BD7A5B">
        <w:t>(</w:t>
      </w:r>
      <w:r>
        <w:t>NAIC 11551</w:t>
      </w:r>
      <w:r w:rsidR="00BD7A5B">
        <w:t>)</w:t>
      </w:r>
    </w:p>
    <w:p w14:paraId="3E274E1F" w14:textId="07DFC946" w:rsidR="007E5975" w:rsidRDefault="007E5975" w:rsidP="00BD7A5B">
      <w:pPr>
        <w:pStyle w:val="NoSpacing"/>
        <w:ind w:left="720"/>
      </w:pPr>
      <w:r>
        <w:t xml:space="preserve">Endurance </w:t>
      </w:r>
      <w:r w:rsidR="00864095">
        <w:t xml:space="preserve">Risk Solutions Assurance Co. </w:t>
      </w:r>
      <w:r w:rsidR="00BD7A5B">
        <w:t>(</w:t>
      </w:r>
      <w:r>
        <w:t xml:space="preserve">NAIC </w:t>
      </w:r>
      <w:r w:rsidR="00864095">
        <w:t>43630</w:t>
      </w:r>
      <w:r w:rsidR="00BD7A5B">
        <w:t>)</w:t>
      </w:r>
    </w:p>
    <w:p w14:paraId="04ECD987" w14:textId="66949323" w:rsidR="007E5975" w:rsidRDefault="007E5975" w:rsidP="00BD7A5B">
      <w:pPr>
        <w:pStyle w:val="NoSpacing"/>
        <w:ind w:left="720"/>
      </w:pPr>
      <w:r>
        <w:t xml:space="preserve">Sompo America Insurance Company </w:t>
      </w:r>
      <w:r w:rsidR="00BD7A5B">
        <w:t>(</w:t>
      </w:r>
      <w:r>
        <w:t>NAIC 11126</w:t>
      </w:r>
      <w:r w:rsidR="00BD7A5B">
        <w:t>)</w:t>
      </w:r>
    </w:p>
    <w:p w14:paraId="0D61B07E" w14:textId="4A4316E9" w:rsidR="007E5975" w:rsidRDefault="007E5975" w:rsidP="00BD7A5B">
      <w:pPr>
        <w:pStyle w:val="NoSpacing"/>
        <w:ind w:left="720"/>
      </w:pPr>
      <w:r>
        <w:t xml:space="preserve">Sompo America Fire &amp; Marine Insurance Company </w:t>
      </w:r>
      <w:r w:rsidR="00BD7A5B">
        <w:t xml:space="preserve">(NAIC </w:t>
      </w:r>
      <w:r>
        <w:t>38997</w:t>
      </w:r>
      <w:r w:rsidR="00BD7A5B">
        <w:t>)</w:t>
      </w:r>
    </w:p>
    <w:p w14:paraId="12AF6640" w14:textId="77777777" w:rsidR="007E5975" w:rsidRDefault="007E5975" w:rsidP="00777A52">
      <w:pPr>
        <w:pStyle w:val="NoSpacing"/>
      </w:pPr>
    </w:p>
    <w:p w14:paraId="796A2625" w14:textId="5586475A" w:rsidR="00545025" w:rsidRDefault="00437CF5" w:rsidP="00777A52">
      <w:pPr>
        <w:pStyle w:val="NoSpacing"/>
      </w:pPr>
      <w:r>
        <w:rPr>
          <w:b/>
          <w:bCs/>
        </w:rPr>
        <w:t xml:space="preserve">SECTION </w:t>
      </w:r>
      <w:r w:rsidR="00C75AC3">
        <w:rPr>
          <w:b/>
          <w:bCs/>
        </w:rPr>
        <w:t>I</w:t>
      </w:r>
      <w:r w:rsidR="00671DAF">
        <w:t xml:space="preserve"> - If your company writes in any lines of insurance specified in Bulletin 2020-3 and has determined no refunds are necessary, please explain and provide any relevant documents - </w:t>
      </w:r>
    </w:p>
    <w:p w14:paraId="3CA22F6F" w14:textId="3BA2837C" w:rsidR="00545025" w:rsidRDefault="00545025" w:rsidP="00777A52">
      <w:pPr>
        <w:pStyle w:val="NoSpacing"/>
      </w:pPr>
    </w:p>
    <w:p w14:paraId="7C320E37" w14:textId="27EB6D8D" w:rsidR="006C2F24" w:rsidRDefault="006C2F24" w:rsidP="00545025">
      <w:pPr>
        <w:pStyle w:val="NoSpacing"/>
        <w:numPr>
          <w:ilvl w:val="0"/>
          <w:numId w:val="4"/>
        </w:numPr>
      </w:pPr>
      <w:r>
        <w:t xml:space="preserve">Our </w:t>
      </w:r>
      <w:r w:rsidR="00864095">
        <w:t xml:space="preserve">California </w:t>
      </w:r>
      <w:bookmarkStart w:id="0" w:name="_GoBack"/>
      <w:bookmarkEnd w:id="0"/>
      <w:r>
        <w:t xml:space="preserve">book of business was reviewed to determine how our insureds have been affected by the COVID-19 pandemic.    </w:t>
      </w:r>
    </w:p>
    <w:p w14:paraId="3558943E" w14:textId="1B97D9F9" w:rsidR="006C2F24" w:rsidRDefault="006C2F24" w:rsidP="00777A52">
      <w:pPr>
        <w:pStyle w:val="NoSpacing"/>
      </w:pPr>
    </w:p>
    <w:p w14:paraId="23056F22" w14:textId="12F09EB9" w:rsidR="00F62070" w:rsidRDefault="0070206D" w:rsidP="00671DAF">
      <w:pPr>
        <w:pStyle w:val="NoSpacing"/>
        <w:rPr>
          <w:b/>
          <w:bCs/>
          <w:sz w:val="28"/>
          <w:szCs w:val="28"/>
          <w:u w:val="single"/>
        </w:rPr>
      </w:pPr>
      <w:r>
        <w:rPr>
          <w:b/>
          <w:bCs/>
          <w:sz w:val="28"/>
          <w:szCs w:val="28"/>
          <w:u w:val="single"/>
        </w:rPr>
        <w:t>Lines of Insurance Not Adversely Impacted</w:t>
      </w:r>
    </w:p>
    <w:tbl>
      <w:tblPr>
        <w:tblStyle w:val="TableGrid"/>
        <w:tblW w:w="0" w:type="auto"/>
        <w:tblInd w:w="0" w:type="dxa"/>
        <w:tblLook w:val="04A0" w:firstRow="1" w:lastRow="0" w:firstColumn="1" w:lastColumn="0" w:noHBand="0" w:noVBand="1"/>
      </w:tblPr>
      <w:tblGrid>
        <w:gridCol w:w="3685"/>
        <w:gridCol w:w="6210"/>
      </w:tblGrid>
      <w:tr w:rsidR="00B84D26" w:rsidRPr="0016701D" w14:paraId="17140EA6" w14:textId="77777777" w:rsidTr="00671DAF">
        <w:tc>
          <w:tcPr>
            <w:tcW w:w="3685" w:type="dxa"/>
          </w:tcPr>
          <w:p w14:paraId="77C3FE00" w14:textId="77777777" w:rsidR="00B84D26" w:rsidRPr="0016701D" w:rsidRDefault="00B84D26" w:rsidP="00645F1E">
            <w:pPr>
              <w:rPr>
                <w:b/>
                <w:bCs/>
                <w:sz w:val="24"/>
                <w:szCs w:val="24"/>
                <w:highlight w:val="lightGray"/>
              </w:rPr>
            </w:pPr>
          </w:p>
        </w:tc>
        <w:tc>
          <w:tcPr>
            <w:tcW w:w="6210" w:type="dxa"/>
          </w:tcPr>
          <w:p w14:paraId="34F4314C" w14:textId="77777777" w:rsidR="00B84D26" w:rsidRPr="00B84D26" w:rsidRDefault="00B84D26" w:rsidP="00645F1E">
            <w:pPr>
              <w:rPr>
                <w:b/>
                <w:bCs/>
                <w:sz w:val="24"/>
                <w:szCs w:val="24"/>
              </w:rPr>
            </w:pPr>
            <w:r w:rsidRPr="00B84D26">
              <w:rPr>
                <w:b/>
                <w:bCs/>
                <w:sz w:val="24"/>
                <w:szCs w:val="24"/>
              </w:rPr>
              <w:t>REASONS WHY NOT SIGNIFICANTLY IMPACTED</w:t>
            </w:r>
          </w:p>
        </w:tc>
      </w:tr>
      <w:tr w:rsidR="00374414" w:rsidRPr="002C4333" w14:paraId="5913373D" w14:textId="77777777" w:rsidTr="00671DAF">
        <w:tc>
          <w:tcPr>
            <w:tcW w:w="3685" w:type="dxa"/>
          </w:tcPr>
          <w:p w14:paraId="63E3EB58" w14:textId="44F14931" w:rsidR="00374414" w:rsidRPr="00367F7A" w:rsidRDefault="00676274" w:rsidP="00645F1E">
            <w:r w:rsidRPr="00367F7A">
              <w:t>Loss Sensitive Programs</w:t>
            </w:r>
            <w:r w:rsidR="006D6DB1">
              <w:t>:</w:t>
            </w:r>
            <w:r w:rsidRPr="00367F7A">
              <w:t xml:space="preserve"> </w:t>
            </w:r>
            <w:r w:rsidR="006D6DB1">
              <w:t>R</w:t>
            </w:r>
            <w:r w:rsidRPr="00367F7A">
              <w:t>etrospective</w:t>
            </w:r>
            <w:r w:rsidR="006D6DB1">
              <w:t xml:space="preserve">ly rated </w:t>
            </w:r>
            <w:r w:rsidRPr="00367F7A">
              <w:t xml:space="preserve">and </w:t>
            </w:r>
            <w:r w:rsidR="006D6DB1">
              <w:t>l</w:t>
            </w:r>
            <w:r w:rsidR="00374414" w:rsidRPr="00367F7A">
              <w:t xml:space="preserve">arge </w:t>
            </w:r>
            <w:r w:rsidR="006D6DB1">
              <w:t>d</w:t>
            </w:r>
            <w:r w:rsidR="00374414" w:rsidRPr="00367F7A">
              <w:t xml:space="preserve">eductible </w:t>
            </w:r>
            <w:r w:rsidR="006D6DB1">
              <w:t>p</w:t>
            </w:r>
            <w:r w:rsidR="00374414" w:rsidRPr="00367F7A">
              <w:t xml:space="preserve">olicies </w:t>
            </w:r>
            <w:r w:rsidRPr="00367F7A">
              <w:t>(</w:t>
            </w:r>
            <w:r w:rsidR="006D6DB1">
              <w:t xml:space="preserve">Large </w:t>
            </w:r>
            <w:r w:rsidRPr="00676274">
              <w:rPr>
                <w:rFonts w:cstheme="minorHAnsi"/>
              </w:rPr>
              <w:t>deductibles</w:t>
            </w:r>
            <w:r w:rsidR="006D6DB1">
              <w:rPr>
                <w:rFonts w:cstheme="minorHAnsi"/>
              </w:rPr>
              <w:t xml:space="preserve"> are those</w:t>
            </w:r>
            <w:r w:rsidRPr="00676274">
              <w:rPr>
                <w:rFonts w:cstheme="minorHAnsi"/>
              </w:rPr>
              <w:t xml:space="preserve"> of $25,000 or greater for Auto </w:t>
            </w:r>
            <w:r w:rsidR="000F202A">
              <w:rPr>
                <w:rFonts w:cstheme="minorHAnsi"/>
              </w:rPr>
              <w:t xml:space="preserve">Liability </w:t>
            </w:r>
            <w:r w:rsidRPr="00676274">
              <w:rPr>
                <w:rFonts w:cstheme="minorHAnsi"/>
              </w:rPr>
              <w:t>and General Liability a</w:t>
            </w:r>
            <w:r w:rsidRPr="00467DDD">
              <w:rPr>
                <w:rFonts w:cstheme="minorHAnsi"/>
              </w:rPr>
              <w:t>nd of $100,000 or greater for Workers</w:t>
            </w:r>
            <w:r w:rsidR="00671DAF">
              <w:rPr>
                <w:rFonts w:cstheme="minorHAnsi"/>
              </w:rPr>
              <w:t xml:space="preserve"> </w:t>
            </w:r>
            <w:r w:rsidRPr="00467DDD">
              <w:rPr>
                <w:rFonts w:cstheme="minorHAnsi"/>
              </w:rPr>
              <w:t>Compensation)</w:t>
            </w:r>
          </w:p>
        </w:tc>
        <w:tc>
          <w:tcPr>
            <w:tcW w:w="6210" w:type="dxa"/>
          </w:tcPr>
          <w:p w14:paraId="39C86D3B" w14:textId="445DC934" w:rsidR="00374414" w:rsidRDefault="00676274" w:rsidP="00367F7A">
            <w:r w:rsidRPr="00676274">
              <w:t xml:space="preserve">Accounts with loss retentions such as large deductibles or retrospective </w:t>
            </w:r>
            <w:r w:rsidR="00905E18">
              <w:t xml:space="preserve">premium </w:t>
            </w:r>
            <w:r w:rsidRPr="00676274">
              <w:t xml:space="preserve">rating plans </w:t>
            </w:r>
            <w:proofErr w:type="gramStart"/>
            <w:r w:rsidRPr="00676274">
              <w:t>are considered to be</w:t>
            </w:r>
            <w:proofErr w:type="gramEnd"/>
            <w:r w:rsidRPr="00676274">
              <w:t xml:space="preserve"> out of scope. With a loss-sensitive program design, the insured will directly see reduced insurance cost driven by decreased exposure during the COVID-19 remain-at-home order.</w:t>
            </w:r>
          </w:p>
        </w:tc>
      </w:tr>
      <w:tr w:rsidR="00B84D26" w:rsidRPr="002C4333" w14:paraId="46F51C90" w14:textId="77777777" w:rsidTr="00671DAF">
        <w:tc>
          <w:tcPr>
            <w:tcW w:w="3685" w:type="dxa"/>
          </w:tcPr>
          <w:p w14:paraId="08E2F770" w14:textId="4455A936" w:rsidR="00B84D26" w:rsidRPr="00367F7A" w:rsidRDefault="00B84D26" w:rsidP="00645F1E">
            <w:r w:rsidRPr="00367F7A">
              <w:t xml:space="preserve">Property (i.e. - Equipment Breakdown, Scheduled Property Floater) </w:t>
            </w:r>
          </w:p>
        </w:tc>
        <w:tc>
          <w:tcPr>
            <w:tcW w:w="6210" w:type="dxa"/>
          </w:tcPr>
          <w:p w14:paraId="063B269C" w14:textId="0A9E5A87" w:rsidR="00B84D26" w:rsidRDefault="00B84D26" w:rsidP="00367F7A">
            <w:r>
              <w:t xml:space="preserve">The premium for direct physical loss or damage </w:t>
            </w:r>
            <w:r w:rsidR="00864095">
              <w:t xml:space="preserve">to property </w:t>
            </w:r>
            <w:r>
              <w:t xml:space="preserve">(PD) is based on total insured values (TIV) of the insured property. For those insureds that are not in operation, the temporary suspension of operations and vacancy of the premises does not reduce the TIV of the insured property. There is no depreciation in the value of the insured property. In fact, depending on the type of property (vehicles, buildings) the value of the property may appreciate due to its nonuse. The valuation of the insured property is not impacted. If a building is valued at a million dollars prior to the suspension of operations/vacancy, then the building is still valued at the same amount during or after any reopening assuming no covered PD loss. </w:t>
            </w:r>
          </w:p>
          <w:p w14:paraId="2644D483" w14:textId="77777777" w:rsidR="00B84D26" w:rsidRDefault="00B84D26" w:rsidP="00645F1E"/>
          <w:p w14:paraId="39997504" w14:textId="6348183E" w:rsidR="00B84D26" w:rsidRDefault="00B84D26" w:rsidP="00367F7A">
            <w:r>
              <w:t xml:space="preserve">For those properties where operations are </w:t>
            </w:r>
            <w:proofErr w:type="gramStart"/>
            <w:r>
              <w:t>temporar</w:t>
            </w:r>
            <w:r w:rsidR="00B64475">
              <w:t>ily</w:t>
            </w:r>
            <w:r>
              <w:t xml:space="preserve"> suspended</w:t>
            </w:r>
            <w:proofErr w:type="gramEnd"/>
            <w:r>
              <w:t xml:space="preserve"> or the premises vacated, the risk of PD is greater. The fact that there are no personnel on the premises can result in a greater risk of PD hazards as there is more chances for problems to go undetected like machinery breakdowns, maintenance issues, mechanical failures, theft, vandalism, water damages, fires, etc.  </w:t>
            </w:r>
          </w:p>
          <w:p w14:paraId="66FAD065" w14:textId="77777777" w:rsidR="00723846" w:rsidRDefault="00723846" w:rsidP="00645F1E"/>
          <w:p w14:paraId="3B445170" w14:textId="77777777" w:rsidR="00B84D26" w:rsidRPr="002C4333" w:rsidRDefault="00B84D26" w:rsidP="00367F7A">
            <w:r>
              <w:t xml:space="preserve">The purpose of time element coverage (TE) under a property policy is to pay the insured for its actual loss of revenue based on its operations at the time of the covered PD loss. PD is a trigger for TE and because the risk of PD remains the same or may even be </w:t>
            </w:r>
            <w:r>
              <w:lastRenderedPageBreak/>
              <w:t>greater at a vacant premise the risk for TE remains unchanged.  Further, revenues naturally can fluctuate during the policy period either increasing or decreasing (due to seasonal/market or other reasons) without any impact to the premium charged at policy inception for the entire policy period. The decrease/increase in revenues due to the emergency orders is part of the inherent nature of the purchase of insurance and does not result in a significant decrease in exposure under the policy. </w:t>
            </w:r>
          </w:p>
        </w:tc>
      </w:tr>
      <w:tr w:rsidR="0016701D" w:rsidRPr="00485AC1" w14:paraId="5C886E84" w14:textId="77777777" w:rsidTr="00671DAF">
        <w:tc>
          <w:tcPr>
            <w:tcW w:w="3685" w:type="dxa"/>
          </w:tcPr>
          <w:p w14:paraId="6221AA4F" w14:textId="28DB16B6" w:rsidR="0016701D" w:rsidRPr="004D1A0E" w:rsidRDefault="0016701D" w:rsidP="00645F1E">
            <w:pPr>
              <w:rPr>
                <w:rFonts w:cstheme="minorHAnsi"/>
              </w:rPr>
            </w:pPr>
            <w:r w:rsidRPr="004D1A0E">
              <w:rPr>
                <w:rFonts w:cstheme="minorHAnsi"/>
              </w:rPr>
              <w:lastRenderedPageBreak/>
              <w:t>U</w:t>
            </w:r>
            <w:r w:rsidR="00374414">
              <w:rPr>
                <w:rFonts w:cstheme="minorHAnsi"/>
              </w:rPr>
              <w:t>mbrella and Excess</w:t>
            </w:r>
          </w:p>
        </w:tc>
        <w:tc>
          <w:tcPr>
            <w:tcW w:w="6210" w:type="dxa"/>
          </w:tcPr>
          <w:p w14:paraId="408F8259" w14:textId="14AA3950" w:rsidR="0016701D" w:rsidRPr="004D1A0E" w:rsidRDefault="0016701D" w:rsidP="00645F1E">
            <w:pPr>
              <w:rPr>
                <w:rFonts w:cstheme="minorHAnsi"/>
              </w:rPr>
            </w:pPr>
            <w:r w:rsidRPr="004D1A0E">
              <w:rPr>
                <w:rFonts w:eastAsia="Times New Roman" w:cstheme="minorHAnsi"/>
              </w:rPr>
              <w:t>The severity driven nature of these lines</w:t>
            </w:r>
            <w:r w:rsidR="00723846">
              <w:rPr>
                <w:rFonts w:eastAsia="Times New Roman" w:cstheme="minorHAnsi"/>
              </w:rPr>
              <w:t xml:space="preserve"> is </w:t>
            </w:r>
            <w:r w:rsidRPr="004D1A0E">
              <w:rPr>
                <w:rFonts w:eastAsia="Times New Roman" w:cstheme="minorHAnsi"/>
              </w:rPr>
              <w:t>not subject to frequency claims and thus would not be susceptible to short swings in insured business revenue or operations.</w:t>
            </w:r>
          </w:p>
        </w:tc>
      </w:tr>
      <w:tr w:rsidR="0016701D" w:rsidRPr="00485AC1" w14:paraId="0957DA4C" w14:textId="77777777" w:rsidTr="00671DAF">
        <w:tc>
          <w:tcPr>
            <w:tcW w:w="3685" w:type="dxa"/>
          </w:tcPr>
          <w:p w14:paraId="7904A427" w14:textId="616563F7" w:rsidR="0016701D" w:rsidRPr="004D1A0E" w:rsidRDefault="0016701D" w:rsidP="00645F1E">
            <w:pPr>
              <w:rPr>
                <w:rFonts w:cstheme="minorHAnsi"/>
              </w:rPr>
            </w:pPr>
            <w:r w:rsidRPr="004D1A0E">
              <w:rPr>
                <w:rFonts w:cstheme="minorHAnsi"/>
              </w:rPr>
              <w:t>P</w:t>
            </w:r>
            <w:r w:rsidR="00374414">
              <w:rPr>
                <w:rFonts w:cstheme="minorHAnsi"/>
              </w:rPr>
              <w:t>rofessional Lines and Management Liability</w:t>
            </w:r>
          </w:p>
        </w:tc>
        <w:tc>
          <w:tcPr>
            <w:tcW w:w="6210" w:type="dxa"/>
          </w:tcPr>
          <w:p w14:paraId="421A6314" w14:textId="57F77309" w:rsidR="0016701D" w:rsidRPr="004D1A0E" w:rsidRDefault="0016701D" w:rsidP="002721BF">
            <w:pPr>
              <w:pStyle w:val="ListParagraph"/>
              <w:ind w:left="0"/>
              <w:rPr>
                <w:rFonts w:eastAsia="Times New Roman" w:cstheme="minorHAnsi"/>
              </w:rPr>
            </w:pPr>
            <w:r w:rsidRPr="004D1A0E">
              <w:rPr>
                <w:rFonts w:eastAsia="Times New Roman" w:cstheme="minorHAnsi"/>
              </w:rPr>
              <w:t xml:space="preserve">The COVID-19 Quarantine has not resulted in a substantial decrease in exposure for these lines owing in part to their Claims Made and Reported nature and thus such lines are not in scope.  Further, the only admitted professional lines business we write in </w:t>
            </w:r>
            <w:r w:rsidR="00676274">
              <w:rPr>
                <w:rFonts w:eastAsia="Times New Roman" w:cstheme="minorHAnsi"/>
              </w:rPr>
              <w:t xml:space="preserve">the State </w:t>
            </w:r>
            <w:r w:rsidR="00B64475">
              <w:rPr>
                <w:rFonts w:eastAsia="Times New Roman" w:cstheme="minorHAnsi"/>
              </w:rPr>
              <w:t xml:space="preserve"> </w:t>
            </w:r>
            <w:r w:rsidRPr="004D1A0E">
              <w:rPr>
                <w:rFonts w:eastAsia="Times New Roman" w:cstheme="minorHAnsi"/>
              </w:rPr>
              <w:t xml:space="preserve"> is Insurance Agents and Brokers Errors and Omissions coverage.  Risks associated with that coverage have not significantly decreased as insurance is an essential business and as such brokers and agents continue to provide their services.  COVID-19 also creates potential additional risks for brokers and agents arising from coverage disputes related to COVID-19 claims.  Management Liability exposures have also not decreased significantly in part in that officers and directors face potential added liability exposures relating to their actions in addressing the COVID-19 pandemic. </w:t>
            </w:r>
          </w:p>
        </w:tc>
      </w:tr>
      <w:tr w:rsidR="0016701D" w:rsidRPr="00485AC1" w14:paraId="2A44FFB5" w14:textId="77777777" w:rsidTr="00671DAF">
        <w:tc>
          <w:tcPr>
            <w:tcW w:w="3685" w:type="dxa"/>
          </w:tcPr>
          <w:p w14:paraId="0A5E5BE5" w14:textId="6E268308" w:rsidR="0016701D" w:rsidRPr="00485AC1" w:rsidRDefault="00374414" w:rsidP="00645F1E">
            <w:pPr>
              <w:rPr>
                <w:sz w:val="24"/>
                <w:szCs w:val="24"/>
              </w:rPr>
            </w:pPr>
            <w:r>
              <w:rPr>
                <w:sz w:val="24"/>
                <w:szCs w:val="24"/>
              </w:rPr>
              <w:t>Medical Malpractice Insurance</w:t>
            </w:r>
          </w:p>
        </w:tc>
        <w:tc>
          <w:tcPr>
            <w:tcW w:w="6210" w:type="dxa"/>
          </w:tcPr>
          <w:p w14:paraId="60F82234" w14:textId="0C026AC6" w:rsidR="0016701D" w:rsidRPr="00485AC1" w:rsidRDefault="00374414" w:rsidP="00367F7A">
            <w:pPr>
              <w:pStyle w:val="NoSpacing"/>
              <w:rPr>
                <w:sz w:val="24"/>
                <w:szCs w:val="24"/>
              </w:rPr>
            </w:pPr>
            <w:r>
              <w:t xml:space="preserve">There is no </w:t>
            </w:r>
            <w:r w:rsidR="00671DAF">
              <w:t>CA</w:t>
            </w:r>
            <w:r>
              <w:t xml:space="preserve"> premium for medical malpractice insurance.</w:t>
            </w:r>
          </w:p>
        </w:tc>
      </w:tr>
      <w:tr w:rsidR="00374414" w:rsidRPr="00485AC1" w14:paraId="3078FED2" w14:textId="77777777" w:rsidTr="00671DAF">
        <w:tc>
          <w:tcPr>
            <w:tcW w:w="3685" w:type="dxa"/>
          </w:tcPr>
          <w:p w14:paraId="17111FB1" w14:textId="72C592C8" w:rsidR="00374414" w:rsidRPr="00374414" w:rsidRDefault="00374414" w:rsidP="00374414">
            <w:pPr>
              <w:rPr>
                <w:sz w:val="24"/>
                <w:szCs w:val="24"/>
              </w:rPr>
            </w:pPr>
            <w:r>
              <w:t>Inland Marine Class</w:t>
            </w:r>
          </w:p>
        </w:tc>
        <w:tc>
          <w:tcPr>
            <w:tcW w:w="6210" w:type="dxa"/>
          </w:tcPr>
          <w:p w14:paraId="06F99941" w14:textId="77777777" w:rsidR="00374414" w:rsidRDefault="00374414" w:rsidP="00374414">
            <w:pPr>
              <w:pStyle w:val="NoSpacing"/>
            </w:pPr>
          </w:p>
        </w:tc>
      </w:tr>
      <w:tr w:rsidR="00374414" w:rsidRPr="00485AC1" w14:paraId="37587E06" w14:textId="77777777" w:rsidTr="00671DAF">
        <w:tc>
          <w:tcPr>
            <w:tcW w:w="3685" w:type="dxa"/>
          </w:tcPr>
          <w:p w14:paraId="5B6B00B6" w14:textId="5D47CD0A" w:rsidR="00374414" w:rsidRDefault="00374414" w:rsidP="00367F7A">
            <w:pPr>
              <w:ind w:left="720"/>
              <w:rPr>
                <w:sz w:val="24"/>
                <w:szCs w:val="24"/>
              </w:rPr>
            </w:pPr>
            <w:r w:rsidRPr="009157DB">
              <w:t>Contractor’s Equipment</w:t>
            </w:r>
          </w:p>
        </w:tc>
        <w:tc>
          <w:tcPr>
            <w:tcW w:w="6210" w:type="dxa"/>
          </w:tcPr>
          <w:p w14:paraId="33073A68" w14:textId="2691EC79" w:rsidR="00374414" w:rsidRDefault="00374414" w:rsidP="00374414">
            <w:pPr>
              <w:pStyle w:val="NoSpacing"/>
            </w:pPr>
            <w:r w:rsidRPr="009157DB">
              <w:t>Continue to have exposure and possibly increased; left unattended and no one monitoring for protection.</w:t>
            </w:r>
          </w:p>
        </w:tc>
      </w:tr>
      <w:tr w:rsidR="00374414" w:rsidRPr="00485AC1" w14:paraId="7F622DB1" w14:textId="77777777" w:rsidTr="00671DAF">
        <w:tc>
          <w:tcPr>
            <w:tcW w:w="3685" w:type="dxa"/>
          </w:tcPr>
          <w:p w14:paraId="3BE9F1F9" w14:textId="4729B0C1" w:rsidR="00374414" w:rsidRDefault="00374414" w:rsidP="00367F7A">
            <w:pPr>
              <w:ind w:left="720"/>
              <w:rPr>
                <w:sz w:val="24"/>
                <w:szCs w:val="24"/>
              </w:rPr>
            </w:pPr>
            <w:r w:rsidRPr="009157DB">
              <w:t>EDP / Computer Equipment</w:t>
            </w:r>
          </w:p>
        </w:tc>
        <w:tc>
          <w:tcPr>
            <w:tcW w:w="6210" w:type="dxa"/>
          </w:tcPr>
          <w:p w14:paraId="18F4B8CC" w14:textId="256EAAF1" w:rsidR="00374414" w:rsidRDefault="00374414" w:rsidP="00374414">
            <w:pPr>
              <w:pStyle w:val="NoSpacing"/>
            </w:pPr>
            <w:r w:rsidRPr="009157DB">
              <w:t xml:space="preserve">Exposure continues; arguably increased. Still operating remotely most likely and there is no one there to monitor it for protection if a business is shut down. </w:t>
            </w:r>
          </w:p>
        </w:tc>
      </w:tr>
      <w:tr w:rsidR="00374414" w:rsidRPr="00485AC1" w14:paraId="4A546BDA" w14:textId="77777777" w:rsidTr="00671DAF">
        <w:tc>
          <w:tcPr>
            <w:tcW w:w="3685" w:type="dxa"/>
          </w:tcPr>
          <w:p w14:paraId="29F13B12" w14:textId="21A09653" w:rsidR="00374414" w:rsidRDefault="00374414" w:rsidP="00367F7A">
            <w:pPr>
              <w:ind w:left="720"/>
              <w:rPr>
                <w:sz w:val="24"/>
                <w:szCs w:val="24"/>
              </w:rPr>
            </w:pPr>
            <w:r w:rsidRPr="009157DB">
              <w:t>MTC, Contingent Cargo, Transit, Trip Transit</w:t>
            </w:r>
          </w:p>
        </w:tc>
        <w:tc>
          <w:tcPr>
            <w:tcW w:w="6210" w:type="dxa"/>
          </w:tcPr>
          <w:p w14:paraId="2673FA42" w14:textId="28B3BF87" w:rsidR="00374414" w:rsidRDefault="00374414" w:rsidP="00374414">
            <w:pPr>
              <w:pStyle w:val="NoSpacing"/>
            </w:pPr>
            <w:r w:rsidRPr="009157DB">
              <w:t xml:space="preserve">Exposure continues and have possibly increased. Due to loosened DOT requirements on driving hours plus the general state of shipping a return premium is not in order. </w:t>
            </w:r>
          </w:p>
        </w:tc>
      </w:tr>
      <w:tr w:rsidR="00374414" w:rsidRPr="00485AC1" w14:paraId="58932267" w14:textId="77777777" w:rsidTr="00671DAF">
        <w:tc>
          <w:tcPr>
            <w:tcW w:w="3685" w:type="dxa"/>
          </w:tcPr>
          <w:p w14:paraId="005BF15C" w14:textId="12C75B90" w:rsidR="00374414" w:rsidRDefault="00374414" w:rsidP="00367F7A">
            <w:pPr>
              <w:ind w:left="720"/>
              <w:rPr>
                <w:sz w:val="24"/>
                <w:szCs w:val="24"/>
              </w:rPr>
            </w:pPr>
            <w:r w:rsidRPr="009157DB">
              <w:t>WHLL – Warehouse Legal Liability</w:t>
            </w:r>
          </w:p>
        </w:tc>
        <w:tc>
          <w:tcPr>
            <w:tcW w:w="6210" w:type="dxa"/>
          </w:tcPr>
          <w:p w14:paraId="6246FE35" w14:textId="5D3BA423" w:rsidR="00374414" w:rsidRDefault="00374414" w:rsidP="00374414">
            <w:pPr>
              <w:pStyle w:val="NoSpacing"/>
            </w:pPr>
            <w:r w:rsidRPr="009157DB">
              <w:t>This exposure has likely increase</w:t>
            </w:r>
            <w:r w:rsidR="00995382">
              <w:t>d</w:t>
            </w:r>
            <w:r w:rsidRPr="009157DB">
              <w:t xml:space="preserve"> in most cases or minimally remained the same since either </w:t>
            </w:r>
            <w:proofErr w:type="gramStart"/>
            <w:r w:rsidRPr="009157DB">
              <w:t>warehouses</w:t>
            </w:r>
            <w:proofErr w:type="gramEnd"/>
            <w:r w:rsidRPr="009157DB">
              <w:t xml:space="preserve"> are more active or nothing is moving out of them. </w:t>
            </w:r>
          </w:p>
        </w:tc>
      </w:tr>
      <w:tr w:rsidR="00374414" w:rsidRPr="00723846" w14:paraId="61484E75" w14:textId="77777777" w:rsidTr="00671DAF">
        <w:tc>
          <w:tcPr>
            <w:tcW w:w="3685" w:type="dxa"/>
          </w:tcPr>
          <w:p w14:paraId="5BDB1AEA" w14:textId="5F992CA6" w:rsidR="00374414" w:rsidRPr="00367F7A" w:rsidRDefault="00374414" w:rsidP="00367F7A">
            <w:pPr>
              <w:ind w:left="720"/>
            </w:pPr>
            <w:r w:rsidRPr="00723846">
              <w:t>Builders’ Risk, Installation Floater</w:t>
            </w:r>
          </w:p>
        </w:tc>
        <w:tc>
          <w:tcPr>
            <w:tcW w:w="6210" w:type="dxa"/>
          </w:tcPr>
          <w:p w14:paraId="7FA46875" w14:textId="1252B65F" w:rsidR="00374414" w:rsidRPr="00723846" w:rsidRDefault="00374414" w:rsidP="00374414">
            <w:pPr>
              <w:pStyle w:val="NoSpacing"/>
            </w:pPr>
            <w:r w:rsidRPr="00723846">
              <w:t xml:space="preserve">Exposure continues and possibly increased. The site/location is possibly shut down and there is no one there to monitor protection.  </w:t>
            </w:r>
          </w:p>
        </w:tc>
      </w:tr>
      <w:tr w:rsidR="00723846" w:rsidRPr="00723846" w14:paraId="54729496" w14:textId="77777777" w:rsidTr="00671DAF">
        <w:tc>
          <w:tcPr>
            <w:tcW w:w="3685" w:type="dxa"/>
            <w:vMerge w:val="restart"/>
          </w:tcPr>
          <w:p w14:paraId="4E8F9564" w14:textId="3E511313" w:rsidR="00723846" w:rsidRPr="00723846" w:rsidRDefault="00723846" w:rsidP="00723846">
            <w:pPr>
              <w:pStyle w:val="NoSpacing"/>
            </w:pPr>
            <w:bookmarkStart w:id="1" w:name="_Hlk41477589"/>
            <w:r w:rsidRPr="00723846">
              <w:t>Ocean Marine</w:t>
            </w:r>
          </w:p>
          <w:p w14:paraId="218FCF2E" w14:textId="4755A14F" w:rsidR="00723846" w:rsidRPr="00723846" w:rsidRDefault="00723846" w:rsidP="00723846">
            <w:pPr>
              <w:pStyle w:val="NoSpacing"/>
            </w:pPr>
          </w:p>
        </w:tc>
        <w:tc>
          <w:tcPr>
            <w:tcW w:w="6210" w:type="dxa"/>
          </w:tcPr>
          <w:p w14:paraId="250BE590" w14:textId="3B1A32A2" w:rsidR="00723846" w:rsidRPr="00723846" w:rsidRDefault="00723846" w:rsidP="00723846">
            <w:pPr>
              <w:pStyle w:val="NoSpacing"/>
            </w:pPr>
            <w:r w:rsidRPr="00367F7A">
              <w:t xml:space="preserve">Cargo - Most of the accounts are on a reporting basis so they will self-regulate.  </w:t>
            </w:r>
          </w:p>
        </w:tc>
      </w:tr>
      <w:tr w:rsidR="00723846" w:rsidRPr="00723846" w14:paraId="38DDA2C6" w14:textId="77777777" w:rsidTr="00671DAF">
        <w:tc>
          <w:tcPr>
            <w:tcW w:w="3685" w:type="dxa"/>
            <w:vMerge/>
          </w:tcPr>
          <w:p w14:paraId="4ABB1F13" w14:textId="27AA6273" w:rsidR="00723846" w:rsidRPr="00723846" w:rsidRDefault="00723846" w:rsidP="00723846">
            <w:pPr>
              <w:pStyle w:val="NoSpacing"/>
            </w:pPr>
          </w:p>
        </w:tc>
        <w:tc>
          <w:tcPr>
            <w:tcW w:w="6210" w:type="dxa"/>
          </w:tcPr>
          <w:p w14:paraId="07A3FAEA" w14:textId="77155002" w:rsidR="00723846" w:rsidRPr="00723846" w:rsidRDefault="00723846" w:rsidP="00723846">
            <w:pPr>
              <w:pStyle w:val="NoSpacing"/>
            </w:pPr>
            <w:r w:rsidRPr="00367F7A">
              <w:t>Hull – Lay-up credits are given for ships in port.</w:t>
            </w:r>
          </w:p>
        </w:tc>
      </w:tr>
      <w:tr w:rsidR="00723846" w:rsidRPr="00723846" w14:paraId="085BDE50" w14:textId="77777777" w:rsidTr="00671DAF">
        <w:tc>
          <w:tcPr>
            <w:tcW w:w="3685" w:type="dxa"/>
          </w:tcPr>
          <w:p w14:paraId="5A5BE518" w14:textId="32F9A284" w:rsidR="00723846" w:rsidRPr="00723846" w:rsidRDefault="00723846">
            <w:pPr>
              <w:pStyle w:val="NoSpacing"/>
            </w:pPr>
            <w:r w:rsidRPr="00723846">
              <w:t xml:space="preserve">Aviation </w:t>
            </w:r>
          </w:p>
        </w:tc>
        <w:tc>
          <w:tcPr>
            <w:tcW w:w="6210" w:type="dxa"/>
          </w:tcPr>
          <w:p w14:paraId="1270B1A6" w14:textId="6783B4B6" w:rsidR="00723846" w:rsidRPr="00367F7A" w:rsidRDefault="00723846" w:rsidP="00723846">
            <w:pPr>
              <w:pStyle w:val="NoSpacing"/>
            </w:pPr>
            <w:r w:rsidRPr="00367F7A">
              <w:t>Lay-up credits are given for aircrafts that are grounded for 30 consecutive days or more.</w:t>
            </w:r>
          </w:p>
        </w:tc>
      </w:tr>
      <w:bookmarkEnd w:id="1"/>
    </w:tbl>
    <w:p w14:paraId="38BCC431" w14:textId="0F5FFF55" w:rsidR="002C4333" w:rsidRDefault="002C4333" w:rsidP="00777A52">
      <w:pPr>
        <w:pStyle w:val="NoSpacing"/>
      </w:pPr>
    </w:p>
    <w:sectPr w:rsidR="002C4333" w:rsidSect="00671DAF">
      <w:footerReference w:type="default" r:id="rId7"/>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41A3" w14:textId="77777777" w:rsidR="001856AB" w:rsidRDefault="001856AB" w:rsidP="0024565D">
      <w:pPr>
        <w:spacing w:after="0" w:line="240" w:lineRule="auto"/>
      </w:pPr>
      <w:r>
        <w:separator/>
      </w:r>
    </w:p>
  </w:endnote>
  <w:endnote w:type="continuationSeparator" w:id="0">
    <w:p w14:paraId="5A1FD7A5" w14:textId="77777777" w:rsidR="001856AB" w:rsidRDefault="001856AB" w:rsidP="002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BEA" w14:textId="70C44A6D" w:rsidR="0024565D" w:rsidRDefault="0024565D">
    <w:pPr>
      <w:pStyle w:val="Footer"/>
    </w:pPr>
    <w:r>
      <w:t>5-29-20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DFF" w14:textId="77777777" w:rsidR="001856AB" w:rsidRDefault="001856AB" w:rsidP="0024565D">
      <w:pPr>
        <w:spacing w:after="0" w:line="240" w:lineRule="auto"/>
      </w:pPr>
      <w:r>
        <w:separator/>
      </w:r>
    </w:p>
  </w:footnote>
  <w:footnote w:type="continuationSeparator" w:id="0">
    <w:p w14:paraId="4C923F28" w14:textId="77777777" w:rsidR="001856AB" w:rsidRDefault="001856AB" w:rsidP="002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AD5"/>
    <w:multiLevelType w:val="hybridMultilevel"/>
    <w:tmpl w:val="A50066F2"/>
    <w:lvl w:ilvl="0" w:tplc="9D6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B01"/>
    <w:multiLevelType w:val="hybridMultilevel"/>
    <w:tmpl w:val="8F82D816"/>
    <w:lvl w:ilvl="0" w:tplc="7AACBBD6">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23AE2"/>
    <w:multiLevelType w:val="hybridMultilevel"/>
    <w:tmpl w:val="441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B16AB"/>
    <w:multiLevelType w:val="hybridMultilevel"/>
    <w:tmpl w:val="F38E2D2E"/>
    <w:lvl w:ilvl="0" w:tplc="6FA201D8">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823341"/>
    <w:multiLevelType w:val="hybridMultilevel"/>
    <w:tmpl w:val="2482F740"/>
    <w:lvl w:ilvl="0" w:tplc="C52CCF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8C68BD"/>
    <w:multiLevelType w:val="hybridMultilevel"/>
    <w:tmpl w:val="D0D2C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C42591"/>
    <w:multiLevelType w:val="hybridMultilevel"/>
    <w:tmpl w:val="DB6C820E"/>
    <w:lvl w:ilvl="0" w:tplc="FBAA44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52"/>
    <w:rsid w:val="000A5E81"/>
    <w:rsid w:val="000F0B2C"/>
    <w:rsid w:val="000F202A"/>
    <w:rsid w:val="00142F74"/>
    <w:rsid w:val="0016701D"/>
    <w:rsid w:val="001823F6"/>
    <w:rsid w:val="001856AB"/>
    <w:rsid w:val="001C39BD"/>
    <w:rsid w:val="00233719"/>
    <w:rsid w:val="0024565D"/>
    <w:rsid w:val="002721BF"/>
    <w:rsid w:val="002B22BB"/>
    <w:rsid w:val="002C4333"/>
    <w:rsid w:val="002F6E59"/>
    <w:rsid w:val="00367F7A"/>
    <w:rsid w:val="00374414"/>
    <w:rsid w:val="003A7D6E"/>
    <w:rsid w:val="00437CF5"/>
    <w:rsid w:val="00467DDD"/>
    <w:rsid w:val="004A3B40"/>
    <w:rsid w:val="004C6880"/>
    <w:rsid w:val="004D1A0E"/>
    <w:rsid w:val="00512618"/>
    <w:rsid w:val="00545025"/>
    <w:rsid w:val="00583B66"/>
    <w:rsid w:val="005952B6"/>
    <w:rsid w:val="005A110E"/>
    <w:rsid w:val="00671DAF"/>
    <w:rsid w:val="00676274"/>
    <w:rsid w:val="006C2F24"/>
    <w:rsid w:val="006D6DB1"/>
    <w:rsid w:val="006E3A8A"/>
    <w:rsid w:val="0070206D"/>
    <w:rsid w:val="00723846"/>
    <w:rsid w:val="00777A52"/>
    <w:rsid w:val="007E5975"/>
    <w:rsid w:val="00864095"/>
    <w:rsid w:val="00871DBE"/>
    <w:rsid w:val="00884879"/>
    <w:rsid w:val="00905E18"/>
    <w:rsid w:val="00995382"/>
    <w:rsid w:val="00A9645C"/>
    <w:rsid w:val="00AA29EC"/>
    <w:rsid w:val="00B64475"/>
    <w:rsid w:val="00B84D26"/>
    <w:rsid w:val="00BD7A5B"/>
    <w:rsid w:val="00C23D21"/>
    <w:rsid w:val="00C44676"/>
    <w:rsid w:val="00C44944"/>
    <w:rsid w:val="00C73C4A"/>
    <w:rsid w:val="00C75AC3"/>
    <w:rsid w:val="00D92AEF"/>
    <w:rsid w:val="00DC4202"/>
    <w:rsid w:val="00E10FE2"/>
    <w:rsid w:val="00F6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72AD"/>
  <w15:chartTrackingRefBased/>
  <w15:docId w15:val="{D90A156A-C74D-431D-86A6-2C584E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52"/>
    <w:pPr>
      <w:spacing w:after="0" w:line="240" w:lineRule="auto"/>
    </w:pPr>
  </w:style>
  <w:style w:type="table" w:styleId="TableGrid">
    <w:name w:val="Table Grid"/>
    <w:basedOn w:val="TableNormal"/>
    <w:uiPriority w:val="39"/>
    <w:rsid w:val="002C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333"/>
    <w:pPr>
      <w:ind w:left="720"/>
      <w:contextualSpacing/>
    </w:pPr>
  </w:style>
  <w:style w:type="paragraph" w:styleId="BalloonText">
    <w:name w:val="Balloon Text"/>
    <w:basedOn w:val="Normal"/>
    <w:link w:val="BalloonTextChar"/>
    <w:uiPriority w:val="99"/>
    <w:semiHidden/>
    <w:unhideWhenUsed/>
    <w:rsid w:val="002C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33"/>
    <w:rPr>
      <w:rFonts w:ascii="Segoe UI" w:hAnsi="Segoe UI" w:cs="Segoe UI"/>
      <w:sz w:val="18"/>
      <w:szCs w:val="18"/>
    </w:rPr>
  </w:style>
  <w:style w:type="character" w:styleId="CommentReference">
    <w:name w:val="annotation reference"/>
    <w:basedOn w:val="DefaultParagraphFont"/>
    <w:uiPriority w:val="99"/>
    <w:semiHidden/>
    <w:unhideWhenUsed/>
    <w:rsid w:val="002C4333"/>
    <w:rPr>
      <w:sz w:val="16"/>
      <w:szCs w:val="16"/>
    </w:rPr>
  </w:style>
  <w:style w:type="paragraph" w:styleId="CommentText">
    <w:name w:val="annotation text"/>
    <w:basedOn w:val="Normal"/>
    <w:link w:val="CommentTextChar"/>
    <w:uiPriority w:val="99"/>
    <w:semiHidden/>
    <w:unhideWhenUsed/>
    <w:rsid w:val="002C4333"/>
    <w:pPr>
      <w:spacing w:line="240" w:lineRule="auto"/>
    </w:pPr>
    <w:rPr>
      <w:sz w:val="20"/>
      <w:szCs w:val="20"/>
    </w:rPr>
  </w:style>
  <w:style w:type="character" w:customStyle="1" w:styleId="CommentTextChar">
    <w:name w:val="Comment Text Char"/>
    <w:basedOn w:val="DefaultParagraphFont"/>
    <w:link w:val="CommentText"/>
    <w:uiPriority w:val="99"/>
    <w:semiHidden/>
    <w:rsid w:val="002C4333"/>
    <w:rPr>
      <w:sz w:val="20"/>
      <w:szCs w:val="20"/>
    </w:rPr>
  </w:style>
  <w:style w:type="paragraph" w:styleId="Header">
    <w:name w:val="header"/>
    <w:basedOn w:val="Normal"/>
    <w:link w:val="HeaderChar"/>
    <w:uiPriority w:val="99"/>
    <w:unhideWhenUsed/>
    <w:rsid w:val="0024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5D"/>
  </w:style>
  <w:style w:type="paragraph" w:styleId="Footer">
    <w:name w:val="footer"/>
    <w:basedOn w:val="Normal"/>
    <w:link w:val="FooterChar"/>
    <w:uiPriority w:val="99"/>
    <w:unhideWhenUsed/>
    <w:rsid w:val="0024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5D"/>
  </w:style>
  <w:style w:type="paragraph" w:styleId="CommentSubject">
    <w:name w:val="annotation subject"/>
    <w:basedOn w:val="CommentText"/>
    <w:next w:val="CommentText"/>
    <w:link w:val="CommentSubjectChar"/>
    <w:uiPriority w:val="99"/>
    <w:semiHidden/>
    <w:unhideWhenUsed/>
    <w:rsid w:val="00D92AEF"/>
    <w:rPr>
      <w:b/>
      <w:bCs/>
    </w:rPr>
  </w:style>
  <w:style w:type="character" w:customStyle="1" w:styleId="CommentSubjectChar">
    <w:name w:val="Comment Subject Char"/>
    <w:basedOn w:val="CommentTextChar"/>
    <w:link w:val="CommentSubject"/>
    <w:uiPriority w:val="99"/>
    <w:semiHidden/>
    <w:rsid w:val="00D9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27215">
      <w:bodyDiv w:val="1"/>
      <w:marLeft w:val="0"/>
      <w:marRight w:val="0"/>
      <w:marTop w:val="0"/>
      <w:marBottom w:val="0"/>
      <w:divBdr>
        <w:top w:val="none" w:sz="0" w:space="0" w:color="auto"/>
        <w:left w:val="none" w:sz="0" w:space="0" w:color="auto"/>
        <w:bottom w:val="none" w:sz="0" w:space="0" w:color="auto"/>
        <w:right w:val="none" w:sz="0" w:space="0" w:color="auto"/>
      </w:divBdr>
    </w:div>
    <w:div w:id="535122597">
      <w:bodyDiv w:val="1"/>
      <w:marLeft w:val="0"/>
      <w:marRight w:val="0"/>
      <w:marTop w:val="0"/>
      <w:marBottom w:val="0"/>
      <w:divBdr>
        <w:top w:val="none" w:sz="0" w:space="0" w:color="auto"/>
        <w:left w:val="none" w:sz="0" w:space="0" w:color="auto"/>
        <w:bottom w:val="none" w:sz="0" w:space="0" w:color="auto"/>
        <w:right w:val="none" w:sz="0" w:space="0" w:color="auto"/>
      </w:divBdr>
    </w:div>
    <w:div w:id="551623949">
      <w:bodyDiv w:val="1"/>
      <w:marLeft w:val="0"/>
      <w:marRight w:val="0"/>
      <w:marTop w:val="0"/>
      <w:marBottom w:val="0"/>
      <w:divBdr>
        <w:top w:val="none" w:sz="0" w:space="0" w:color="auto"/>
        <w:left w:val="none" w:sz="0" w:space="0" w:color="auto"/>
        <w:bottom w:val="none" w:sz="0" w:space="0" w:color="auto"/>
        <w:right w:val="none" w:sz="0" w:space="0" w:color="auto"/>
      </w:divBdr>
    </w:div>
    <w:div w:id="1136677392">
      <w:bodyDiv w:val="1"/>
      <w:marLeft w:val="0"/>
      <w:marRight w:val="0"/>
      <w:marTop w:val="0"/>
      <w:marBottom w:val="0"/>
      <w:divBdr>
        <w:top w:val="none" w:sz="0" w:space="0" w:color="auto"/>
        <w:left w:val="none" w:sz="0" w:space="0" w:color="auto"/>
        <w:bottom w:val="none" w:sz="0" w:space="0" w:color="auto"/>
        <w:right w:val="none" w:sz="0" w:space="0" w:color="auto"/>
      </w:divBdr>
    </w:div>
    <w:div w:id="1377122016">
      <w:bodyDiv w:val="1"/>
      <w:marLeft w:val="0"/>
      <w:marRight w:val="0"/>
      <w:marTop w:val="0"/>
      <w:marBottom w:val="0"/>
      <w:divBdr>
        <w:top w:val="none" w:sz="0" w:space="0" w:color="auto"/>
        <w:left w:val="none" w:sz="0" w:space="0" w:color="auto"/>
        <w:bottom w:val="none" w:sz="0" w:space="0" w:color="auto"/>
        <w:right w:val="none" w:sz="0" w:space="0" w:color="auto"/>
      </w:divBdr>
    </w:div>
    <w:div w:id="14151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Linda</dc:creator>
  <cp:keywords/>
  <dc:description/>
  <cp:lastModifiedBy>Moon, Linda</cp:lastModifiedBy>
  <cp:revision>7</cp:revision>
  <dcterms:created xsi:type="dcterms:W3CDTF">2020-06-02T18:30:00Z</dcterms:created>
  <dcterms:modified xsi:type="dcterms:W3CDTF">2020-06-10T17:51:00Z</dcterms:modified>
</cp:coreProperties>
</file>