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0ED51" w14:textId="77777777" w:rsidR="00F02615" w:rsidRPr="00EA33F7" w:rsidRDefault="00F02615" w:rsidP="005B355C">
      <w:pPr>
        <w:pStyle w:val="Default"/>
        <w:rPr>
          <w:sz w:val="22"/>
          <w:szCs w:val="22"/>
        </w:rPr>
      </w:pPr>
      <w:bookmarkStart w:id="0" w:name="_GoBack"/>
      <w:bookmarkEnd w:id="0"/>
    </w:p>
    <w:p w14:paraId="19CCFE71" w14:textId="436D5106" w:rsidR="00F02615" w:rsidRPr="00EA33F7" w:rsidRDefault="00F02615" w:rsidP="005B355C">
      <w:pPr>
        <w:pStyle w:val="Default"/>
        <w:rPr>
          <w:b/>
          <w:sz w:val="22"/>
          <w:szCs w:val="22"/>
        </w:rPr>
      </w:pPr>
      <w:bookmarkStart w:id="1" w:name="_Hlk42792615"/>
      <w:r w:rsidRPr="00EA33F7">
        <w:rPr>
          <w:b/>
          <w:sz w:val="22"/>
          <w:szCs w:val="22"/>
        </w:rPr>
        <w:t xml:space="preserve">Background </w:t>
      </w:r>
    </w:p>
    <w:p w14:paraId="6849E980" w14:textId="3376F8B9" w:rsidR="00F02615" w:rsidRDefault="00F02615" w:rsidP="005B355C">
      <w:pPr>
        <w:pStyle w:val="Default"/>
        <w:rPr>
          <w:sz w:val="22"/>
          <w:szCs w:val="22"/>
        </w:rPr>
      </w:pPr>
      <w:r w:rsidRPr="005B355C">
        <w:rPr>
          <w:sz w:val="22"/>
          <w:szCs w:val="22"/>
        </w:rPr>
        <w:t>In response to the Covid-19 pandemic, shelter-in-place emergency orders and reduction in driving across the country, Encompass was a leader in the insurance industry in initiating refunds to our automobile customers. Encompass contacted the California Department of Insurance (“CDI”) on April 5, 2020 regarding our planned refunds and began a series of conversations surrounding Encompass’ Shelter in Place Payback (“SIPP”). Encompass began issuing its first payments to customers during the week of April 13</w:t>
      </w:r>
      <w:r w:rsidR="00CE19EE">
        <w:rPr>
          <w:sz w:val="22"/>
          <w:szCs w:val="22"/>
        </w:rPr>
        <w:t>, 2020</w:t>
      </w:r>
      <w:r w:rsidRPr="005B355C">
        <w:rPr>
          <w:sz w:val="22"/>
          <w:szCs w:val="22"/>
        </w:rPr>
        <w:t xml:space="preserve">. </w:t>
      </w:r>
      <w:r w:rsidR="00CE19EE">
        <w:rPr>
          <w:sz w:val="22"/>
          <w:szCs w:val="22"/>
        </w:rPr>
        <w:t xml:space="preserve">The </w:t>
      </w:r>
      <w:r w:rsidRPr="005B355C">
        <w:rPr>
          <w:sz w:val="22"/>
          <w:szCs w:val="22"/>
        </w:rPr>
        <w:t xml:space="preserve">CDI issued a bulletin the same week mandating all admitted carriers in the state issue a payback for auto policies as well as other impacted lines. </w:t>
      </w:r>
    </w:p>
    <w:p w14:paraId="6B7C6345" w14:textId="1DF95191" w:rsidR="00844D3F" w:rsidRDefault="00844D3F" w:rsidP="005B355C">
      <w:pPr>
        <w:pStyle w:val="Default"/>
        <w:rPr>
          <w:sz w:val="22"/>
          <w:szCs w:val="22"/>
        </w:rPr>
      </w:pPr>
    </w:p>
    <w:p w14:paraId="6477AA52" w14:textId="51FD7FFD" w:rsidR="00844D3F" w:rsidRPr="005B355C" w:rsidRDefault="00844D3F" w:rsidP="00844D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 June 12, 2020, Encompass submitted a report to the CDI outlining the paybacks issued for Auto, Motorcycle, and Motorhome for the months of March, April, and May.</w:t>
      </w:r>
    </w:p>
    <w:p w14:paraId="00BAF921" w14:textId="42D9D632" w:rsidR="00844D3F" w:rsidRDefault="00844D3F" w:rsidP="005B355C">
      <w:pPr>
        <w:pStyle w:val="Default"/>
        <w:rPr>
          <w:sz w:val="22"/>
          <w:szCs w:val="22"/>
        </w:rPr>
      </w:pPr>
    </w:p>
    <w:p w14:paraId="77D1EFA1" w14:textId="77777777" w:rsidR="003F1DA5" w:rsidRDefault="00823629" w:rsidP="008236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3B0F2E">
        <w:rPr>
          <w:sz w:val="22"/>
          <w:szCs w:val="22"/>
        </w:rPr>
        <w:t>October 1, 2020</w:t>
      </w:r>
      <w:r>
        <w:rPr>
          <w:sz w:val="22"/>
          <w:szCs w:val="22"/>
        </w:rPr>
        <w:t>, Encompass submitted a report to the CDI outlining the paybacks issued for Auto</w:t>
      </w:r>
      <w:r w:rsidR="00200247">
        <w:rPr>
          <w:sz w:val="22"/>
          <w:szCs w:val="22"/>
        </w:rPr>
        <w:t xml:space="preserve"> and </w:t>
      </w:r>
      <w:r>
        <w:rPr>
          <w:sz w:val="22"/>
          <w:szCs w:val="22"/>
        </w:rPr>
        <w:t>Motorcycle</w:t>
      </w:r>
      <w:r w:rsidR="002002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months of June, July, and August.  </w:t>
      </w:r>
    </w:p>
    <w:p w14:paraId="5CC29E03" w14:textId="77777777" w:rsidR="003F1DA5" w:rsidRDefault="003F1DA5" w:rsidP="00823629">
      <w:pPr>
        <w:pStyle w:val="Default"/>
        <w:rPr>
          <w:sz w:val="22"/>
          <w:szCs w:val="22"/>
        </w:rPr>
      </w:pPr>
    </w:p>
    <w:p w14:paraId="61EFE9C6" w14:textId="77777777" w:rsidR="002230EC" w:rsidRDefault="003F1DA5" w:rsidP="008236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 February 1, 2021, Encompass submitted a report to the CDI outlining the paybacks issued for Auto for the months of September, October, November and December. </w:t>
      </w:r>
    </w:p>
    <w:p w14:paraId="2A12FBCF" w14:textId="77777777" w:rsidR="002230EC" w:rsidRDefault="002230EC" w:rsidP="00823629">
      <w:pPr>
        <w:pStyle w:val="Default"/>
        <w:rPr>
          <w:sz w:val="22"/>
          <w:szCs w:val="22"/>
        </w:rPr>
      </w:pPr>
    </w:p>
    <w:p w14:paraId="6DFE5343" w14:textId="469478EF" w:rsidR="00823629" w:rsidRPr="005B355C" w:rsidRDefault="002230EC" w:rsidP="008236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the 1Q21 report, the CDI has requested a supplemental report addressing additional refunds for 2020 or additional support for not provid</w:t>
      </w:r>
      <w:r w:rsidR="00F63B0A">
        <w:rPr>
          <w:sz w:val="22"/>
          <w:szCs w:val="22"/>
        </w:rPr>
        <w:t>ing additional refunds .</w:t>
      </w:r>
      <w:r w:rsidR="00823629">
        <w:rPr>
          <w:sz w:val="22"/>
          <w:szCs w:val="22"/>
        </w:rPr>
        <w:t xml:space="preserve">We have completed our </w:t>
      </w:r>
      <w:r w:rsidR="006B07A2">
        <w:rPr>
          <w:sz w:val="22"/>
          <w:szCs w:val="22"/>
        </w:rPr>
        <w:t>review</w:t>
      </w:r>
      <w:r w:rsidR="00823629">
        <w:rPr>
          <w:sz w:val="22"/>
          <w:szCs w:val="22"/>
        </w:rPr>
        <w:t xml:space="preserve"> of the </w:t>
      </w:r>
      <w:r w:rsidR="00F63B0A">
        <w:rPr>
          <w:sz w:val="22"/>
          <w:szCs w:val="22"/>
        </w:rPr>
        <w:t>2020 premium refunds</w:t>
      </w:r>
      <w:r w:rsidR="00CE19EE">
        <w:rPr>
          <w:sz w:val="22"/>
          <w:szCs w:val="22"/>
        </w:rPr>
        <w:t xml:space="preserve"> </w:t>
      </w:r>
      <w:r w:rsidR="00823629">
        <w:rPr>
          <w:sz w:val="22"/>
          <w:szCs w:val="22"/>
        </w:rPr>
        <w:t>and have outlined our response in the narrative below and the accompanying data set.</w:t>
      </w:r>
    </w:p>
    <w:p w14:paraId="39FB0512" w14:textId="77777777" w:rsidR="00823629" w:rsidRPr="005B355C" w:rsidRDefault="00823629" w:rsidP="005B355C">
      <w:pPr>
        <w:pStyle w:val="Default"/>
        <w:rPr>
          <w:sz w:val="22"/>
          <w:szCs w:val="22"/>
        </w:rPr>
      </w:pPr>
    </w:p>
    <w:p w14:paraId="0D0BAE8E" w14:textId="77777777" w:rsidR="00F02615" w:rsidRPr="005B355C" w:rsidRDefault="00F02615" w:rsidP="005B355C">
      <w:pPr>
        <w:pStyle w:val="Default"/>
        <w:rPr>
          <w:sz w:val="22"/>
          <w:szCs w:val="22"/>
        </w:rPr>
      </w:pPr>
    </w:p>
    <w:p w14:paraId="768FB308" w14:textId="77777777" w:rsidR="00F02615" w:rsidRPr="00EA33F7" w:rsidRDefault="00F02615">
      <w:pPr>
        <w:pStyle w:val="Default"/>
        <w:rPr>
          <w:b/>
          <w:sz w:val="22"/>
          <w:szCs w:val="22"/>
        </w:rPr>
      </w:pPr>
      <w:r w:rsidRPr="00EA33F7">
        <w:rPr>
          <w:b/>
          <w:sz w:val="22"/>
          <w:szCs w:val="22"/>
        </w:rPr>
        <w:t xml:space="preserve">Report outline </w:t>
      </w:r>
    </w:p>
    <w:p w14:paraId="0A26D15F" w14:textId="77777777" w:rsidR="006B07A2" w:rsidRDefault="00F63B0A" w:rsidP="005B3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Bulletin 2021-03 communicated the results of the CDI analysis of the Top 10 Private Passenger Auto groups. The data call collected information for the following coverages – bodily injury, property damage and collision. </w:t>
      </w:r>
      <w:r w:rsidR="00F02615" w:rsidRPr="00EA3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 the data provided, pre-pandemic expected loss ratios, company-specific efficiency standards and a 5% profit load, the CDI determined that premium credits provided have been inadequate</w:t>
      </w:r>
      <w:r w:rsidR="00BF108A">
        <w:rPr>
          <w:rFonts w:ascii="Times New Roman" w:hAnsi="Times New Roman" w:cs="Times New Roman"/>
        </w:rPr>
        <w:t xml:space="preserve">. The CDI requested companies review and provide a supplemental report detailing </w:t>
      </w:r>
      <w:r w:rsidR="006B07A2">
        <w:rPr>
          <w:rFonts w:ascii="Times New Roman" w:hAnsi="Times New Roman" w:cs="Times New Roman"/>
        </w:rPr>
        <w:t xml:space="preserve">what </w:t>
      </w:r>
      <w:r w:rsidR="00BF108A">
        <w:rPr>
          <w:rFonts w:ascii="Times New Roman" w:hAnsi="Times New Roman" w:cs="Times New Roman"/>
        </w:rPr>
        <w:t>additional refunds, if any, will be provided.</w:t>
      </w:r>
      <w:r>
        <w:rPr>
          <w:rFonts w:ascii="Times New Roman" w:hAnsi="Times New Roman" w:cs="Times New Roman"/>
        </w:rPr>
        <w:t xml:space="preserve"> </w:t>
      </w:r>
    </w:p>
    <w:p w14:paraId="0CEE0697" w14:textId="25FA3097" w:rsidR="009C45AB" w:rsidRDefault="00F02615" w:rsidP="005B355C">
      <w:pPr>
        <w:rPr>
          <w:rFonts w:ascii="Times New Roman" w:hAnsi="Times New Roman" w:cs="Times New Roman"/>
        </w:rPr>
      </w:pPr>
      <w:r w:rsidRPr="00EA33F7">
        <w:rPr>
          <w:rFonts w:ascii="Times New Roman" w:hAnsi="Times New Roman" w:cs="Times New Roman"/>
        </w:rPr>
        <w:t xml:space="preserve">This Memorandum covers lines written in Encompass Insurance Company. </w:t>
      </w:r>
    </w:p>
    <w:bookmarkEnd w:id="1"/>
    <w:p w14:paraId="3BE72209" w14:textId="6E7138E2" w:rsidR="005B355C" w:rsidRPr="00EA33F7" w:rsidRDefault="005B355C" w:rsidP="005B355C">
      <w:pPr>
        <w:rPr>
          <w:rFonts w:ascii="Times New Roman" w:hAnsi="Times New Roman" w:cs="Times New Roman"/>
        </w:rPr>
      </w:pPr>
      <w:r w:rsidRPr="00EA33F7">
        <w:rPr>
          <w:rFonts w:ascii="Times New Roman" w:hAnsi="Times New Roman" w:cs="Times New Roman"/>
          <w:bCs/>
        </w:rPr>
        <w:t xml:space="preserve">Factors considered in </w:t>
      </w:r>
      <w:r w:rsidR="00BF108A">
        <w:rPr>
          <w:rFonts w:ascii="Times New Roman" w:hAnsi="Times New Roman" w:cs="Times New Roman"/>
          <w:bCs/>
        </w:rPr>
        <w:t xml:space="preserve">the 2020 </w:t>
      </w:r>
      <w:r w:rsidR="006B07A2">
        <w:rPr>
          <w:rFonts w:ascii="Times New Roman" w:hAnsi="Times New Roman" w:cs="Times New Roman"/>
          <w:bCs/>
        </w:rPr>
        <w:t>review:</w:t>
      </w:r>
    </w:p>
    <w:p w14:paraId="5B749DFD" w14:textId="6A370F17" w:rsidR="007A2189" w:rsidRPr="009A1D0B" w:rsidRDefault="00BF108A" w:rsidP="00EA33F7">
      <w:pPr>
        <w:numPr>
          <w:ilvl w:val="0"/>
          <w:numId w:val="1"/>
        </w:numPr>
        <w:tabs>
          <w:tab w:val="num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Encompass</w:t>
      </w:r>
      <w:r w:rsidR="006B07A2">
        <w:rPr>
          <w:rFonts w:ascii="Times New Roman" w:hAnsi="Times New Roman" w:cs="Times New Roman"/>
          <w:b/>
          <w:bCs/>
        </w:rPr>
        <w:t>’s</w:t>
      </w:r>
      <w:r>
        <w:rPr>
          <w:rFonts w:ascii="Times New Roman" w:hAnsi="Times New Roman" w:cs="Times New Roman"/>
          <w:b/>
          <w:bCs/>
        </w:rPr>
        <w:t xml:space="preserve"> Projected 2020 </w:t>
      </w:r>
      <w:r w:rsidR="006B07A2">
        <w:rPr>
          <w:rFonts w:ascii="Times New Roman" w:hAnsi="Times New Roman" w:cs="Times New Roman"/>
          <w:b/>
          <w:bCs/>
        </w:rPr>
        <w:t xml:space="preserve">COVID </w:t>
      </w:r>
      <w:r>
        <w:rPr>
          <w:rFonts w:ascii="Times New Roman" w:hAnsi="Times New Roman" w:cs="Times New Roman"/>
          <w:b/>
          <w:bCs/>
        </w:rPr>
        <w:t>Combined Ratio decreased by an amount consistent with the premium refunds issued in 2020.</w:t>
      </w:r>
    </w:p>
    <w:p w14:paraId="7DF1978F" w14:textId="732A9C73" w:rsidR="009A1D0B" w:rsidRDefault="009A1D0B" w:rsidP="009A1D0B">
      <w:pPr>
        <w:tabs>
          <w:tab w:val="num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Utilizing the 35% efficiency standard for independent agency carriers and a 5% profit load, Encompass calculated projected combined ratios for 2017-2020 as well as the COVID impacted months of 2020. Encompass assumed the January and February 2020 ultimate loss ratio would be equivalent to the 2017 – 2019 ultimate loss ratio and calculated the 2020 COVID month</w:t>
      </w:r>
      <w:r w:rsidR="006B07A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projected ultimate loss ratio.</w:t>
      </w:r>
      <w:r w:rsidR="00F47F24">
        <w:rPr>
          <w:rFonts w:ascii="Times New Roman" w:hAnsi="Times New Roman" w:cs="Times New Roman"/>
        </w:rPr>
        <w:t xml:space="preserve"> </w:t>
      </w:r>
      <w:r w:rsidR="005E4291">
        <w:rPr>
          <w:rFonts w:ascii="Times New Roman" w:hAnsi="Times New Roman" w:cs="Times New Roman"/>
        </w:rPr>
        <w:t>2020 premiums have not been adjusted for the premium refunds.</w:t>
      </w:r>
    </w:p>
    <w:p w14:paraId="3CE8AAE5" w14:textId="6B4E3843" w:rsidR="009A1D0B" w:rsidRDefault="009A1D0B" w:rsidP="009A1D0B">
      <w:pPr>
        <w:tabs>
          <w:tab w:val="num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table below shows the 2020 COVID month</w:t>
      </w:r>
      <w:r w:rsidR="006B07A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projected ultimate combined ratio decreased </w:t>
      </w:r>
      <w:r w:rsidR="008D3CE0"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>%</w:t>
      </w:r>
      <w:r w:rsidR="006B07A2">
        <w:rPr>
          <w:rFonts w:ascii="Times New Roman" w:hAnsi="Times New Roman" w:cs="Times New Roman"/>
        </w:rPr>
        <w:t xml:space="preserve"> relative to the pre-pandemic 3</w:t>
      </w:r>
      <w:r w:rsidR="00D4644E">
        <w:rPr>
          <w:rFonts w:ascii="Times New Roman" w:hAnsi="Times New Roman" w:cs="Times New Roman"/>
        </w:rPr>
        <w:t>-</w:t>
      </w:r>
      <w:r w:rsidR="006B07A2">
        <w:rPr>
          <w:rFonts w:ascii="Times New Roman" w:hAnsi="Times New Roman" w:cs="Times New Roman"/>
        </w:rPr>
        <w:t>year average</w:t>
      </w:r>
      <w:r>
        <w:rPr>
          <w:rFonts w:ascii="Times New Roman" w:hAnsi="Times New Roman" w:cs="Times New Roman"/>
        </w:rPr>
        <w:t>.</w:t>
      </w:r>
    </w:p>
    <w:p w14:paraId="48734665" w14:textId="77777777" w:rsidR="009A1D0B" w:rsidRDefault="009A1D0B" w:rsidP="009A1D0B">
      <w:pPr>
        <w:tabs>
          <w:tab w:val="num" w:pos="1080"/>
        </w:tabs>
        <w:rPr>
          <w:rFonts w:ascii="Times New Roman" w:hAnsi="Times New Roman" w:cs="Times New Roman"/>
          <w:b/>
          <w:bCs/>
        </w:rPr>
      </w:pPr>
    </w:p>
    <w:p w14:paraId="688E8B6A" w14:textId="77777777" w:rsidR="009A1D0B" w:rsidRDefault="009A1D0B" w:rsidP="009A1D0B">
      <w:pPr>
        <w:tabs>
          <w:tab w:val="num" w:pos="1080"/>
        </w:tabs>
        <w:rPr>
          <w:rFonts w:ascii="Times New Roman" w:hAnsi="Times New Roman" w:cs="Times New Roman"/>
          <w:b/>
          <w:bCs/>
        </w:rPr>
      </w:pPr>
    </w:p>
    <w:p w14:paraId="2A6E5067" w14:textId="35DD201D" w:rsidR="00D02C45" w:rsidRPr="009A1D0B" w:rsidRDefault="00D02C45" w:rsidP="009A1D0B">
      <w:pPr>
        <w:tabs>
          <w:tab w:val="num" w:pos="1080"/>
        </w:tabs>
        <w:rPr>
          <w:rFonts w:ascii="Times New Roman" w:hAnsi="Times New Roman" w:cs="Times New Roman"/>
        </w:rPr>
      </w:pPr>
    </w:p>
    <w:tbl>
      <w:tblPr>
        <w:tblW w:w="0" w:type="auto"/>
        <w:tblInd w:w="-95" w:type="dxa"/>
        <w:tblLook w:val="04A0" w:firstRow="1" w:lastRow="0" w:firstColumn="1" w:lastColumn="0" w:noHBand="0" w:noVBand="1"/>
      </w:tblPr>
      <w:tblGrid>
        <w:gridCol w:w="1222"/>
        <w:gridCol w:w="963"/>
        <w:gridCol w:w="914"/>
        <w:gridCol w:w="1024"/>
        <w:gridCol w:w="1268"/>
        <w:gridCol w:w="1359"/>
        <w:gridCol w:w="1260"/>
        <w:gridCol w:w="1435"/>
      </w:tblGrid>
      <w:tr w:rsidR="008D3CE0" w:rsidRPr="008D3CE0" w14:paraId="6486F5DA" w14:textId="77777777" w:rsidTr="008D3CE0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531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EE5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5B6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51B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CEBD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2017-2019 Avg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202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2020 Full Year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F8D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2020 COVID Months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27C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Difference to 2017-2019 Avg</w:t>
            </w:r>
          </w:p>
        </w:tc>
      </w:tr>
      <w:tr w:rsidR="008D3CE0" w:rsidRPr="008D3CE0" w14:paraId="7AE16A21" w14:textId="77777777" w:rsidTr="008D3CE0">
        <w:trPr>
          <w:trHeight w:val="3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EFD" w14:textId="751A07F9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Proj</w:t>
            </w:r>
            <w:r>
              <w:rPr>
                <w:rFonts w:ascii="Calibri" w:eastAsia="Times New Roman" w:hAnsi="Calibri" w:cs="Calibri"/>
                <w:color w:val="000000"/>
              </w:rPr>
              <w:t>ected</w:t>
            </w:r>
            <w:r w:rsidRPr="008D3CE0">
              <w:rPr>
                <w:rFonts w:ascii="Calibri" w:eastAsia="Times New Roman" w:hAnsi="Calibri" w:cs="Calibri"/>
                <w:color w:val="000000"/>
              </w:rPr>
              <w:t xml:space="preserve"> Ult</w:t>
            </w:r>
            <w:r>
              <w:rPr>
                <w:rFonts w:ascii="Calibri" w:eastAsia="Times New Roman" w:hAnsi="Calibri" w:cs="Calibri"/>
                <w:color w:val="000000"/>
              </w:rPr>
              <w:t>imate</w:t>
            </w:r>
            <w:r w:rsidRPr="008D3CE0">
              <w:rPr>
                <w:rFonts w:ascii="Calibri" w:eastAsia="Times New Roman" w:hAnsi="Calibri" w:cs="Calibri"/>
                <w:color w:val="000000"/>
              </w:rPr>
              <w:t xml:space="preserve"> Loss Ratio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DE1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72.5%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C87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75.2%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54C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70.3%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0F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72.7%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8F0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66.7%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C74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65.5%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32BF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-7.2%</w:t>
            </w:r>
          </w:p>
        </w:tc>
      </w:tr>
      <w:tr w:rsidR="008D3CE0" w:rsidRPr="008D3CE0" w14:paraId="4E90870B" w14:textId="77777777" w:rsidTr="008D3CE0">
        <w:trPr>
          <w:trHeight w:val="3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C4A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Efficiency Standard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245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AD4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8B09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C24A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1E9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965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35.0%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01AF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8D3CE0" w:rsidRPr="008D3CE0" w14:paraId="58BD6002" w14:textId="77777777" w:rsidTr="008D3CE0">
        <w:trPr>
          <w:trHeight w:val="3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D20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 xml:space="preserve">Profit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D15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AE8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CAC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CE1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D13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1AE2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E08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8D3CE0" w:rsidRPr="008D3CE0" w14:paraId="2046E7C9" w14:textId="77777777" w:rsidTr="008D3CE0">
        <w:trPr>
          <w:trHeight w:val="3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42A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Combined Ratio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BE7C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112.5%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55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115.2%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DC2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110.3%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9EC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112.7%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32AE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106.7%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624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105.5%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09BA" w14:textId="77777777" w:rsidR="008D3CE0" w:rsidRPr="008D3CE0" w:rsidRDefault="008D3CE0" w:rsidP="008D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CE0">
              <w:rPr>
                <w:rFonts w:ascii="Calibri" w:eastAsia="Times New Roman" w:hAnsi="Calibri" w:cs="Calibri"/>
                <w:color w:val="000000"/>
              </w:rPr>
              <w:t>-7.2%</w:t>
            </w:r>
          </w:p>
        </w:tc>
      </w:tr>
    </w:tbl>
    <w:p w14:paraId="209ADD6D" w14:textId="77777777" w:rsidR="00026FC0" w:rsidRPr="00EA33F7" w:rsidRDefault="00026FC0" w:rsidP="009A1D0B">
      <w:pPr>
        <w:ind w:left="1080"/>
        <w:rPr>
          <w:rFonts w:ascii="Times New Roman" w:hAnsi="Times New Roman" w:cs="Times New Roman"/>
        </w:rPr>
      </w:pPr>
    </w:p>
    <w:p w14:paraId="35541DC9" w14:textId="781E9716" w:rsidR="00026FC0" w:rsidRPr="009A1D0B" w:rsidRDefault="00026FC0" w:rsidP="00EA33F7">
      <w:pPr>
        <w:numPr>
          <w:ilvl w:val="0"/>
          <w:numId w:val="1"/>
        </w:numPr>
        <w:tabs>
          <w:tab w:val="num" w:pos="1800"/>
        </w:tabs>
        <w:rPr>
          <w:rFonts w:ascii="Times New Roman" w:hAnsi="Times New Roman" w:cs="Times New Roman"/>
          <w:b/>
          <w:bCs/>
        </w:rPr>
      </w:pPr>
      <w:r w:rsidRPr="009A1D0B">
        <w:rPr>
          <w:rFonts w:ascii="Times New Roman" w:hAnsi="Times New Roman" w:cs="Times New Roman"/>
          <w:b/>
          <w:bCs/>
        </w:rPr>
        <w:t>Loss development for 2020 does not reflect impacts of pandemic shutdowns of the court system</w:t>
      </w:r>
    </w:p>
    <w:p w14:paraId="48973069" w14:textId="4F43C319" w:rsidR="00026FC0" w:rsidRPr="009A1D0B" w:rsidRDefault="009A1D0B" w:rsidP="009A1D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Long-tailed coverages such as Bodily Injury and Uninsured Motorists may take longer to develop to ultimate than historically </w:t>
      </w:r>
    </w:p>
    <w:p w14:paraId="201E0B98" w14:textId="7D8585BD" w:rsidR="007A2189" w:rsidRPr="00EA33F7" w:rsidRDefault="00BF108A" w:rsidP="00EA33F7">
      <w:pPr>
        <w:numPr>
          <w:ilvl w:val="0"/>
          <w:numId w:val="1"/>
        </w:numPr>
        <w:tabs>
          <w:tab w:val="num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Encompass provided the premium refunds on the total auto premium – not just </w:t>
      </w:r>
      <w:r w:rsidR="006B07A2">
        <w:rPr>
          <w:rFonts w:ascii="Times New Roman" w:hAnsi="Times New Roman" w:cs="Times New Roman"/>
          <w:b/>
          <w:bCs/>
        </w:rPr>
        <w:t xml:space="preserve">the </w:t>
      </w:r>
      <w:r>
        <w:rPr>
          <w:rFonts w:ascii="Times New Roman" w:hAnsi="Times New Roman" w:cs="Times New Roman"/>
          <w:b/>
          <w:bCs/>
        </w:rPr>
        <w:t>bodily injury, property damage and collision coverages</w:t>
      </w:r>
      <w:r w:rsidR="006B07A2">
        <w:rPr>
          <w:rFonts w:ascii="Times New Roman" w:hAnsi="Times New Roman" w:cs="Times New Roman"/>
          <w:b/>
          <w:bCs/>
        </w:rPr>
        <w:t xml:space="preserve"> reviewed</w:t>
      </w:r>
    </w:p>
    <w:p w14:paraId="3BAF7B1E" w14:textId="67E7EF02" w:rsidR="007A2189" w:rsidRDefault="006E6A99" w:rsidP="00EA33F7">
      <w:pPr>
        <w:numPr>
          <w:ilvl w:val="2"/>
          <w:numId w:val="1"/>
        </w:numPr>
        <w:tabs>
          <w:tab w:val="num" w:pos="2520"/>
        </w:tabs>
        <w:rPr>
          <w:rFonts w:ascii="Times New Roman" w:hAnsi="Times New Roman" w:cs="Times New Roman"/>
        </w:rPr>
      </w:pPr>
      <w:hyperlink r:id="rId7" w:history="1">
        <w:r w:rsidR="00BF108A" w:rsidRPr="009A1D0B">
          <w:rPr>
            <w:rStyle w:val="Hyperlink"/>
            <w:rFonts w:ascii="Times New Roman" w:hAnsi="Times New Roman" w:cs="Times New Roman"/>
            <w:color w:val="auto"/>
            <w:u w:val="none"/>
          </w:rPr>
          <w:t>Encompass</w:t>
        </w:r>
      </w:hyperlink>
      <w:r w:rsidR="00BF108A">
        <w:rPr>
          <w:rFonts w:ascii="Times New Roman" w:hAnsi="Times New Roman" w:cs="Times New Roman"/>
        </w:rPr>
        <w:t xml:space="preserve"> provided 15% of total auto policy premium for March, April and May and 7% of total auto policy premium for June through December. This is a</w:t>
      </w:r>
      <w:r w:rsidR="00F635D7">
        <w:rPr>
          <w:rFonts w:ascii="Times New Roman" w:hAnsi="Times New Roman" w:cs="Times New Roman"/>
        </w:rPr>
        <w:t>n overall</w:t>
      </w:r>
      <w:r w:rsidR="00BF108A">
        <w:rPr>
          <w:rFonts w:ascii="Times New Roman" w:hAnsi="Times New Roman" w:cs="Times New Roman"/>
        </w:rPr>
        <w:t xml:space="preserve"> premium refund of 9.4% for </w:t>
      </w:r>
      <w:r w:rsidR="00F635D7">
        <w:rPr>
          <w:rFonts w:ascii="Times New Roman" w:hAnsi="Times New Roman" w:cs="Times New Roman"/>
        </w:rPr>
        <w:t xml:space="preserve">the COVID impacted months of </w:t>
      </w:r>
      <w:r w:rsidR="00BF108A">
        <w:rPr>
          <w:rFonts w:ascii="Times New Roman" w:hAnsi="Times New Roman" w:cs="Times New Roman"/>
        </w:rPr>
        <w:t>2020.</w:t>
      </w:r>
    </w:p>
    <w:p w14:paraId="5645265A" w14:textId="3E6B9700" w:rsidR="009A1D0B" w:rsidRPr="009A1D0B" w:rsidRDefault="009A1D0B" w:rsidP="009A1D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9A1D0B">
        <w:rPr>
          <w:rFonts w:ascii="Times New Roman" w:hAnsi="Times New Roman" w:cs="Times New Roman"/>
        </w:rPr>
        <w:t xml:space="preserve">Based on Encompass’ premium distribution by coverage, the 9.4% of total auto premium is equivalent to </w:t>
      </w:r>
      <w:r w:rsidR="00EF63A2">
        <w:rPr>
          <w:rFonts w:ascii="Times New Roman" w:hAnsi="Times New Roman" w:cs="Times New Roman"/>
        </w:rPr>
        <w:t>an 11.8</w:t>
      </w:r>
      <w:r w:rsidRPr="009A1D0B">
        <w:rPr>
          <w:rFonts w:ascii="Times New Roman" w:hAnsi="Times New Roman" w:cs="Times New Roman"/>
        </w:rPr>
        <w:t>% credit on bodily injury, property damage and collision coverages.</w:t>
      </w:r>
      <w:r w:rsidRPr="009A1D0B" w:rsidDel="00026FC0">
        <w:rPr>
          <w:rFonts w:ascii="Times New Roman" w:hAnsi="Times New Roman" w:cs="Times New Roman"/>
        </w:rPr>
        <w:t xml:space="preserve"> </w:t>
      </w:r>
    </w:p>
    <w:p w14:paraId="7C54CCD1" w14:textId="09606657" w:rsidR="005B355C" w:rsidRPr="00EA33F7" w:rsidRDefault="005B355C" w:rsidP="00EA33F7">
      <w:pPr>
        <w:tabs>
          <w:tab w:val="num" w:pos="1800"/>
        </w:tabs>
        <w:rPr>
          <w:rFonts w:ascii="Times New Roman" w:hAnsi="Times New Roman" w:cs="Times New Roman"/>
          <w:b/>
        </w:rPr>
      </w:pPr>
      <w:r w:rsidRPr="00EA33F7">
        <w:rPr>
          <w:rFonts w:ascii="Times New Roman" w:hAnsi="Times New Roman" w:cs="Times New Roman"/>
          <w:b/>
        </w:rPr>
        <w:t>Summary</w:t>
      </w:r>
    </w:p>
    <w:p w14:paraId="46E08D4E" w14:textId="25B82E8D" w:rsidR="00164869" w:rsidRPr="00EA33F7" w:rsidRDefault="005B355C" w:rsidP="005B355C">
      <w:pPr>
        <w:rPr>
          <w:rFonts w:ascii="Times New Roman" w:hAnsi="Times New Roman" w:cs="Times New Roman"/>
        </w:rPr>
      </w:pPr>
      <w:r w:rsidRPr="00EA33F7">
        <w:rPr>
          <w:rFonts w:ascii="Times New Roman" w:hAnsi="Times New Roman" w:cs="Times New Roman"/>
        </w:rPr>
        <w:t>B</w:t>
      </w:r>
      <w:r w:rsidR="007A2189" w:rsidRPr="00EA33F7">
        <w:rPr>
          <w:rFonts w:ascii="Times New Roman" w:hAnsi="Times New Roman" w:cs="Times New Roman"/>
        </w:rPr>
        <w:t>ased upon</w:t>
      </w:r>
      <w:r w:rsidR="00F47F24">
        <w:rPr>
          <w:rFonts w:ascii="Times New Roman" w:hAnsi="Times New Roman" w:cs="Times New Roman"/>
        </w:rPr>
        <w:t xml:space="preserve"> the projected improvement in the 2020 combined ratio and the premium refunds given in 2020, Encompass does not believe additional premium refunds are warranted.</w:t>
      </w:r>
    </w:p>
    <w:sectPr w:rsidR="00164869" w:rsidRPr="00EA3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A312" w14:textId="77777777" w:rsidR="006E6A99" w:rsidRDefault="006E6A99" w:rsidP="00DD1E68">
      <w:pPr>
        <w:spacing w:after="0" w:line="240" w:lineRule="auto"/>
      </w:pPr>
      <w:r>
        <w:separator/>
      </w:r>
    </w:p>
  </w:endnote>
  <w:endnote w:type="continuationSeparator" w:id="0">
    <w:p w14:paraId="4A152CAE" w14:textId="77777777" w:rsidR="006E6A99" w:rsidRDefault="006E6A99" w:rsidP="00DD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2708" w14:textId="77777777" w:rsidR="00CE19EE" w:rsidRDefault="00CE1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06BD" w14:textId="77777777" w:rsidR="00DD1E68" w:rsidRDefault="00DD1E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4366AE" wp14:editId="160A9D87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bf6b43659e286e37ae9bc763" descr="{&quot;HashCode&quot;:184055034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91D650" w14:textId="1D810431" w:rsidR="00DD1E68" w:rsidRPr="00EA3BD3" w:rsidRDefault="00EA3BD3" w:rsidP="00EA3BD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19BFFF"/>
                              <w:sz w:val="20"/>
                            </w:rPr>
                          </w:pPr>
                          <w:r w:rsidRPr="00EA3BD3">
                            <w:rPr>
                              <w:rFonts w:ascii="Calibri" w:hAnsi="Calibri" w:cs="Calibri"/>
                              <w:color w:val="19BFFF"/>
                              <w:sz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366AE" id="_x0000_t202" coordsize="21600,21600" o:spt="202" path="m,l,21600r21600,l21600,xe">
              <v:stroke joinstyle="miter"/>
              <v:path gradientshapeok="t" o:connecttype="rect"/>
            </v:shapetype>
            <v:shape id="MSIPCMbf6b43659e286e37ae9bc763" o:spid="_x0000_s1026" type="#_x0000_t202" alt="{&quot;HashCode&quot;:184055034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" o:allowincell="f" filled="f" stroked="f" strokeweight=".5pt">
              <v:textbox inset=",0,20pt,0">
                <w:txbxContent>
                  <w:p w14:paraId="5691D650" w14:textId="1D810431" w:rsidR="00DD1E68" w:rsidRPr="00EA3BD3" w:rsidRDefault="00EA3BD3" w:rsidP="00EA3BD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19BFFF"/>
                        <w:sz w:val="20"/>
                      </w:rPr>
                    </w:pPr>
                    <w:r w:rsidRPr="00EA3BD3">
                      <w:rPr>
                        <w:rFonts w:ascii="Calibri" w:hAnsi="Calibri" w:cs="Calibri"/>
                        <w:color w:val="19BFFF"/>
                        <w:sz w:val="2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8980" w14:textId="77777777" w:rsidR="00CE19EE" w:rsidRDefault="00CE1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A279E" w14:textId="77777777" w:rsidR="006E6A99" w:rsidRDefault="006E6A99" w:rsidP="00DD1E68">
      <w:pPr>
        <w:spacing w:after="0" w:line="240" w:lineRule="auto"/>
      </w:pPr>
      <w:r>
        <w:separator/>
      </w:r>
    </w:p>
  </w:footnote>
  <w:footnote w:type="continuationSeparator" w:id="0">
    <w:p w14:paraId="754AF8EB" w14:textId="77777777" w:rsidR="006E6A99" w:rsidRDefault="006E6A99" w:rsidP="00DD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D590" w14:textId="77777777" w:rsidR="00CE19EE" w:rsidRDefault="00CE1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9539" w14:textId="77777777" w:rsidR="00CE19EE" w:rsidRDefault="00CE1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D6CB" w14:textId="77777777" w:rsidR="00CE19EE" w:rsidRDefault="00CE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1AD3"/>
    <w:multiLevelType w:val="hybridMultilevel"/>
    <w:tmpl w:val="BD7E22A4"/>
    <w:lvl w:ilvl="0" w:tplc="D4707E0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19A167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D046B80">
      <w:start w:val="25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D56E5C5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88813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00588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94085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DDCBEB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3817FD"/>
    <w:multiLevelType w:val="hybridMultilevel"/>
    <w:tmpl w:val="078C0A20"/>
    <w:lvl w:ilvl="0" w:tplc="D4707E0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046B80">
      <w:start w:val="25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D56E5C5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88813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00588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94085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DDCBEB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89"/>
    <w:rsid w:val="00004FCC"/>
    <w:rsid w:val="00026FC0"/>
    <w:rsid w:val="0005122A"/>
    <w:rsid w:val="00057D1F"/>
    <w:rsid w:val="0009469C"/>
    <w:rsid w:val="000971D4"/>
    <w:rsid w:val="000F5358"/>
    <w:rsid w:val="00111B92"/>
    <w:rsid w:val="00121CA1"/>
    <w:rsid w:val="00127677"/>
    <w:rsid w:val="0014312E"/>
    <w:rsid w:val="0016252E"/>
    <w:rsid w:val="00164869"/>
    <w:rsid w:val="00174E17"/>
    <w:rsid w:val="00186ADA"/>
    <w:rsid w:val="00187D5C"/>
    <w:rsid w:val="001D59B3"/>
    <w:rsid w:val="00200247"/>
    <w:rsid w:val="002230EC"/>
    <w:rsid w:val="002512AC"/>
    <w:rsid w:val="00264BC2"/>
    <w:rsid w:val="002B15AA"/>
    <w:rsid w:val="002C35EA"/>
    <w:rsid w:val="002C40AA"/>
    <w:rsid w:val="002C44D0"/>
    <w:rsid w:val="002C5F0B"/>
    <w:rsid w:val="002D4E0F"/>
    <w:rsid w:val="002E51BD"/>
    <w:rsid w:val="002F753D"/>
    <w:rsid w:val="00300399"/>
    <w:rsid w:val="003102D5"/>
    <w:rsid w:val="0032219D"/>
    <w:rsid w:val="00326B14"/>
    <w:rsid w:val="003A4CFB"/>
    <w:rsid w:val="003B0F2E"/>
    <w:rsid w:val="003F1DA5"/>
    <w:rsid w:val="00416536"/>
    <w:rsid w:val="0043073C"/>
    <w:rsid w:val="0048571E"/>
    <w:rsid w:val="00485834"/>
    <w:rsid w:val="004A5A24"/>
    <w:rsid w:val="004B5ACF"/>
    <w:rsid w:val="005114AA"/>
    <w:rsid w:val="00522F1E"/>
    <w:rsid w:val="00585882"/>
    <w:rsid w:val="005878F4"/>
    <w:rsid w:val="005A1AE4"/>
    <w:rsid w:val="005B355C"/>
    <w:rsid w:val="005B7FC0"/>
    <w:rsid w:val="005D7C4F"/>
    <w:rsid w:val="005E4291"/>
    <w:rsid w:val="00630A33"/>
    <w:rsid w:val="0063409C"/>
    <w:rsid w:val="0063414C"/>
    <w:rsid w:val="006A4EE8"/>
    <w:rsid w:val="006A5377"/>
    <w:rsid w:val="006B07A2"/>
    <w:rsid w:val="006C648F"/>
    <w:rsid w:val="006C68B4"/>
    <w:rsid w:val="006E6A99"/>
    <w:rsid w:val="00700810"/>
    <w:rsid w:val="00717305"/>
    <w:rsid w:val="00753252"/>
    <w:rsid w:val="00796FB8"/>
    <w:rsid w:val="007A2189"/>
    <w:rsid w:val="00813EBA"/>
    <w:rsid w:val="008172A4"/>
    <w:rsid w:val="00823629"/>
    <w:rsid w:val="00844D3F"/>
    <w:rsid w:val="008470AD"/>
    <w:rsid w:val="00851295"/>
    <w:rsid w:val="00862BB3"/>
    <w:rsid w:val="008D3CE0"/>
    <w:rsid w:val="008E6F6E"/>
    <w:rsid w:val="00905EE0"/>
    <w:rsid w:val="00944C20"/>
    <w:rsid w:val="0095270D"/>
    <w:rsid w:val="00983882"/>
    <w:rsid w:val="009A1D0B"/>
    <w:rsid w:val="009B5090"/>
    <w:rsid w:val="009C4013"/>
    <w:rsid w:val="009C45AB"/>
    <w:rsid w:val="009D3AA1"/>
    <w:rsid w:val="009F6951"/>
    <w:rsid w:val="00A54417"/>
    <w:rsid w:val="00A60A0F"/>
    <w:rsid w:val="00A62196"/>
    <w:rsid w:val="00A743D0"/>
    <w:rsid w:val="00A912D5"/>
    <w:rsid w:val="00A9748B"/>
    <w:rsid w:val="00AA25A8"/>
    <w:rsid w:val="00AB344C"/>
    <w:rsid w:val="00AF345F"/>
    <w:rsid w:val="00B470F1"/>
    <w:rsid w:val="00B5779C"/>
    <w:rsid w:val="00B7561D"/>
    <w:rsid w:val="00B91023"/>
    <w:rsid w:val="00BD66B2"/>
    <w:rsid w:val="00BF108A"/>
    <w:rsid w:val="00C14EF9"/>
    <w:rsid w:val="00C16022"/>
    <w:rsid w:val="00C65657"/>
    <w:rsid w:val="00C66929"/>
    <w:rsid w:val="00CB005B"/>
    <w:rsid w:val="00CB7E47"/>
    <w:rsid w:val="00CD1B34"/>
    <w:rsid w:val="00CE19EE"/>
    <w:rsid w:val="00CF40F8"/>
    <w:rsid w:val="00D01B29"/>
    <w:rsid w:val="00D02C45"/>
    <w:rsid w:val="00D03306"/>
    <w:rsid w:val="00D17CD9"/>
    <w:rsid w:val="00D4644E"/>
    <w:rsid w:val="00D47D19"/>
    <w:rsid w:val="00DB3AF8"/>
    <w:rsid w:val="00DC6B5F"/>
    <w:rsid w:val="00DD1E68"/>
    <w:rsid w:val="00DF1663"/>
    <w:rsid w:val="00DF1B5E"/>
    <w:rsid w:val="00E02682"/>
    <w:rsid w:val="00E03026"/>
    <w:rsid w:val="00E459E6"/>
    <w:rsid w:val="00E47E57"/>
    <w:rsid w:val="00E8727D"/>
    <w:rsid w:val="00EA0DB5"/>
    <w:rsid w:val="00EA33F7"/>
    <w:rsid w:val="00EA3BD3"/>
    <w:rsid w:val="00EC7980"/>
    <w:rsid w:val="00EF63A2"/>
    <w:rsid w:val="00F02615"/>
    <w:rsid w:val="00F47F24"/>
    <w:rsid w:val="00F635D7"/>
    <w:rsid w:val="00F63B0A"/>
    <w:rsid w:val="00F65164"/>
    <w:rsid w:val="00F82D4F"/>
    <w:rsid w:val="00F855C2"/>
    <w:rsid w:val="00FC477E"/>
    <w:rsid w:val="00FD07B8"/>
    <w:rsid w:val="00FE351E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89263"/>
  <w15:chartTrackingRefBased/>
  <w15:docId w15:val="{9BE8BAF9-8C68-4220-A083-4305FBB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1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1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68"/>
  </w:style>
  <w:style w:type="paragraph" w:styleId="Footer">
    <w:name w:val="footer"/>
    <w:basedOn w:val="Normal"/>
    <w:link w:val="FooterChar"/>
    <w:uiPriority w:val="99"/>
    <w:unhideWhenUsed/>
    <w:rsid w:val="00DD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68"/>
  </w:style>
  <w:style w:type="paragraph" w:customStyle="1" w:styleId="Default">
    <w:name w:val="Default"/>
    <w:rsid w:val="00F02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55C"/>
    <w:pPr>
      <w:ind w:left="720"/>
      <w:contextualSpacing/>
    </w:pPr>
  </w:style>
  <w:style w:type="paragraph" w:styleId="Revision">
    <w:name w:val="Revision"/>
    <w:hidden/>
    <w:uiPriority w:val="99"/>
    <w:semiHidden/>
    <w:rsid w:val="006340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7E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adubt\AppData\Local\Microsoft\Windows\INetCache\Content.Outlook\KH8GLBMW\Encompas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Hassel, Eric (Encompass Analytics)</dc:creator>
  <cp:keywords/>
  <dc:description/>
  <cp:lastModifiedBy>Dubois, Alan</cp:lastModifiedBy>
  <cp:revision>5</cp:revision>
  <dcterms:created xsi:type="dcterms:W3CDTF">2021-04-27T16:59:00Z</dcterms:created>
  <dcterms:modified xsi:type="dcterms:W3CDTF">2021-04-30T19:35:00Z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a8a813-53e7-4f1d-90f2-cda32b87eb03_Enabled">
    <vt:lpwstr>True</vt:lpwstr>
  </property>
  <property fmtid="{D5CDD505-2E9C-101B-9397-08002B2CF9AE}" pid="3" name="MSIP_Label_eea8a813-53e7-4f1d-90f2-cda32b87eb03_SiteId">
    <vt:lpwstr>88b431e7-cf2a-43a9-bd00-81441f5c2d3c</vt:lpwstr>
  </property>
  <property fmtid="{D5CDD505-2E9C-101B-9397-08002B2CF9AE}" pid="4" name="MSIP_Label_eea8a813-53e7-4f1d-90f2-cda32b87eb03_Owner">
    <vt:lpwstr>Eric.Hassel@Encompassins.com</vt:lpwstr>
  </property>
  <property fmtid="{D5CDD505-2E9C-101B-9397-08002B2CF9AE}" pid="5" name="MSIP_Label_eea8a813-53e7-4f1d-90f2-cda32b87eb03_SetDate">
    <vt:lpwstr>2020-06-03T18:45:39.4813747Z</vt:lpwstr>
  </property>
  <property fmtid="{D5CDD505-2E9C-101B-9397-08002B2CF9AE}" pid="6" name="MSIP_Label_eea8a813-53e7-4f1d-90f2-cda32b87eb03_Name">
    <vt:lpwstr>Internal</vt:lpwstr>
  </property>
  <property fmtid="{D5CDD505-2E9C-101B-9397-08002B2CF9AE}" pid="7" name="MSIP_Label_eea8a813-53e7-4f1d-90f2-cda32b87eb03_Application">
    <vt:lpwstr>Microsoft Azure Information Protection</vt:lpwstr>
  </property>
  <property fmtid="{D5CDD505-2E9C-101B-9397-08002B2CF9AE}" pid="8" name="MSIP_Label_eea8a813-53e7-4f1d-90f2-cda32b87eb03_Extended_MSFT_Method">
    <vt:lpwstr>Manual</vt:lpwstr>
  </property>
  <property fmtid="{D5CDD505-2E9C-101B-9397-08002B2CF9AE}" pid="9" name="MSIP_Label_42db8a26-2b46-4c76-916d-d46abcb4bdb2_Enabled">
    <vt:lpwstr>True</vt:lpwstr>
  </property>
  <property fmtid="{D5CDD505-2E9C-101B-9397-08002B2CF9AE}" pid="10" name="MSIP_Label_42db8a26-2b46-4c76-916d-d46abcb4bdb2_SiteId">
    <vt:lpwstr>88b431e7-cf2a-43a9-bd00-81441f5c2d3c</vt:lpwstr>
  </property>
  <property fmtid="{D5CDD505-2E9C-101B-9397-08002B2CF9AE}" pid="11" name="MSIP_Label_42db8a26-2b46-4c76-916d-d46abcb4bdb2_Owner">
    <vt:lpwstr>Eric.Hassel@Encompassins.com</vt:lpwstr>
  </property>
  <property fmtid="{D5CDD505-2E9C-101B-9397-08002B2CF9AE}" pid="12" name="MSIP_Label_42db8a26-2b46-4c76-916d-d46abcb4bdb2_SetDate">
    <vt:lpwstr>2020-06-03T18:45:39.4813747Z</vt:lpwstr>
  </property>
  <property fmtid="{D5CDD505-2E9C-101B-9397-08002B2CF9AE}" pid="13" name="MSIP_Label_42db8a26-2b46-4c76-916d-d46abcb4bdb2_Name">
    <vt:lpwstr>Watermark</vt:lpwstr>
  </property>
  <property fmtid="{D5CDD505-2E9C-101B-9397-08002B2CF9AE}" pid="14" name="MSIP_Label_42db8a26-2b46-4c76-916d-d46abcb4bdb2_Application">
    <vt:lpwstr>Microsoft Azure Information Protection</vt:lpwstr>
  </property>
  <property fmtid="{D5CDD505-2E9C-101B-9397-08002B2CF9AE}" pid="15" name="MSIP_Label_42db8a26-2b46-4c76-916d-d46abcb4bdb2_Parent">
    <vt:lpwstr>eea8a813-53e7-4f1d-90f2-cda32b87eb03</vt:lpwstr>
  </property>
  <property fmtid="{D5CDD505-2E9C-101B-9397-08002B2CF9AE}" pid="16" name="MSIP_Label_42db8a26-2b46-4c76-916d-d46abcb4bdb2_Extended_MSFT_Method">
    <vt:lpwstr>Manual</vt:lpwstr>
  </property>
  <property fmtid="{D5CDD505-2E9C-101B-9397-08002B2CF9AE}" pid="17" name="Sensitivity">
    <vt:lpwstr>Internal Watermark</vt:lpwstr>
  </property>
</Properties>
</file>