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B770D" w14:textId="4D872892" w:rsidR="00AB3FE4" w:rsidRDefault="00AB3FE4" w:rsidP="00952AE1">
      <w:pPr>
        <w:spacing w:before="8" w:line="100" w:lineRule="exact"/>
        <w:jc w:val="both"/>
        <w:rPr>
          <w:sz w:val="10"/>
          <w:szCs w:val="10"/>
        </w:rPr>
      </w:pPr>
    </w:p>
    <w:p w14:paraId="3532EF96" w14:textId="0EAA250E" w:rsidR="00AB3FE4" w:rsidRDefault="00A20750" w:rsidP="00952AE1">
      <w:pPr>
        <w:ind w:left="116"/>
        <w:jc w:val="both"/>
      </w:pPr>
      <w:bookmarkStart w:id="0" w:name="_Hlk40358296"/>
      <w:r>
        <w:pict w14:anchorId="524E9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.8pt;height:67.8pt">
            <v:imagedata r:id="rId9" o:title=""/>
          </v:shape>
        </w:pict>
      </w:r>
    </w:p>
    <w:p w14:paraId="305C3758" w14:textId="5CC3F9B8" w:rsidR="00A71BF8" w:rsidRDefault="00A71BF8" w:rsidP="00952AE1">
      <w:pPr>
        <w:ind w:left="116"/>
        <w:jc w:val="both"/>
      </w:pPr>
    </w:p>
    <w:p w14:paraId="7E1E1A5D" w14:textId="5C6D6259" w:rsidR="00AB3FE4" w:rsidRDefault="00A71BF8" w:rsidP="00952AE1">
      <w:pPr>
        <w:ind w:left="116"/>
        <w:jc w:val="both"/>
        <w:rPr>
          <w:sz w:val="19"/>
          <w:szCs w:val="19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7A7D26" w14:textId="17AC9EAA" w:rsidR="00AB3FE4" w:rsidRDefault="00A71BF8" w:rsidP="00952AE1">
      <w:pPr>
        <w:spacing w:before="8" w:line="260" w:lineRule="exact"/>
        <w:jc w:val="center"/>
        <w:rPr>
          <w:rFonts w:ascii="Calibri" w:eastAsia="Calibri" w:hAnsi="Calibri" w:cs="Calibri"/>
          <w:b/>
          <w:sz w:val="28"/>
          <w:szCs w:val="28"/>
        </w:rPr>
      </w:pPr>
      <w:r w:rsidRPr="00A71BF8">
        <w:rPr>
          <w:rFonts w:ascii="Calibri" w:eastAsia="Calibri" w:hAnsi="Calibri" w:cs="Calibri"/>
          <w:b/>
          <w:sz w:val="28"/>
          <w:szCs w:val="28"/>
        </w:rPr>
        <w:t>COVID-19 Premium Adjustment</w:t>
      </w:r>
    </w:p>
    <w:p w14:paraId="544F9568" w14:textId="4E7B5D60" w:rsidR="00A71BF8" w:rsidRDefault="004E2DB8" w:rsidP="00952AE1">
      <w:pPr>
        <w:spacing w:before="8" w:line="260" w:lineRule="exact"/>
        <w:jc w:val="center"/>
        <w:rPr>
          <w:sz w:val="26"/>
          <w:szCs w:val="26"/>
        </w:rPr>
      </w:pPr>
      <w:r>
        <w:rPr>
          <w:rFonts w:ascii="Calibri" w:eastAsia="Calibri" w:hAnsi="Calibri" w:cs="Calibri"/>
          <w:b/>
          <w:sz w:val="24"/>
          <w:szCs w:val="24"/>
        </w:rPr>
        <w:t>California</w:t>
      </w:r>
    </w:p>
    <w:p w14:paraId="38E4A2B9" w14:textId="547A845F" w:rsidR="004C2D74" w:rsidRDefault="004C2D74" w:rsidP="00952AE1">
      <w:p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</w:p>
    <w:p w14:paraId="2DF330ED" w14:textId="680EA807" w:rsidR="00C635C0" w:rsidRDefault="00851AD4" w:rsidP="00952AE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 address </w:t>
      </w:r>
      <w:r w:rsidR="00C635C0">
        <w:rPr>
          <w:rFonts w:asciiTheme="minorHAnsi" w:hAnsiTheme="minorHAnsi"/>
          <w:sz w:val="22"/>
          <w:szCs w:val="22"/>
        </w:rPr>
        <w:t xml:space="preserve">growing inquiries from </w:t>
      </w:r>
      <w:r w:rsidR="00833842">
        <w:rPr>
          <w:rFonts w:asciiTheme="minorHAnsi" w:hAnsiTheme="minorHAnsi"/>
          <w:sz w:val="22"/>
          <w:szCs w:val="22"/>
        </w:rPr>
        <w:t xml:space="preserve">customers, brokers and </w:t>
      </w:r>
      <w:r w:rsidR="00C635C0">
        <w:rPr>
          <w:rFonts w:asciiTheme="minorHAnsi" w:hAnsiTheme="minorHAnsi"/>
          <w:sz w:val="22"/>
          <w:szCs w:val="22"/>
        </w:rPr>
        <w:t xml:space="preserve">regulators, </w:t>
      </w:r>
      <w:r w:rsidR="003C3B0F">
        <w:rPr>
          <w:rFonts w:asciiTheme="minorHAnsi" w:hAnsiTheme="minorHAnsi"/>
          <w:sz w:val="22"/>
          <w:szCs w:val="22"/>
        </w:rPr>
        <w:t>Berkshire Hathaway Specialty Insurance Company</w:t>
      </w:r>
      <w:r>
        <w:rPr>
          <w:rFonts w:asciiTheme="minorHAnsi" w:hAnsiTheme="minorHAnsi"/>
          <w:sz w:val="22"/>
          <w:szCs w:val="22"/>
        </w:rPr>
        <w:t>’s</w:t>
      </w:r>
      <w:r w:rsidR="003C3B0F">
        <w:rPr>
          <w:rFonts w:asciiTheme="minorHAnsi" w:hAnsiTheme="minorHAnsi"/>
          <w:sz w:val="22"/>
          <w:szCs w:val="22"/>
        </w:rPr>
        <w:t xml:space="preserve"> (BHSIC)</w:t>
      </w:r>
      <w:r>
        <w:rPr>
          <w:rFonts w:asciiTheme="minorHAnsi" w:hAnsiTheme="minorHAnsi"/>
          <w:sz w:val="22"/>
          <w:szCs w:val="22"/>
        </w:rPr>
        <w:t xml:space="preserve"> </w:t>
      </w:r>
      <w:r w:rsidR="00C635C0">
        <w:rPr>
          <w:rFonts w:asciiTheme="minorHAnsi" w:hAnsiTheme="minorHAnsi"/>
          <w:sz w:val="22"/>
          <w:szCs w:val="22"/>
        </w:rPr>
        <w:t>senior underwriting team examined the entire portfolio</w:t>
      </w:r>
      <w:r>
        <w:rPr>
          <w:rFonts w:asciiTheme="minorHAnsi" w:hAnsiTheme="minorHAnsi"/>
          <w:sz w:val="22"/>
          <w:szCs w:val="22"/>
        </w:rPr>
        <w:t xml:space="preserve"> in detail </w:t>
      </w:r>
      <w:r w:rsidR="00C635C0">
        <w:rPr>
          <w:rFonts w:asciiTheme="minorHAnsi" w:hAnsiTheme="minorHAnsi"/>
          <w:sz w:val="22"/>
          <w:szCs w:val="22"/>
        </w:rPr>
        <w:t xml:space="preserve">to identify areas </w:t>
      </w:r>
      <w:r w:rsidR="00833842">
        <w:rPr>
          <w:rFonts w:asciiTheme="minorHAnsi" w:hAnsiTheme="minorHAnsi"/>
          <w:sz w:val="22"/>
          <w:szCs w:val="22"/>
        </w:rPr>
        <w:t>affected</w:t>
      </w:r>
      <w:r>
        <w:rPr>
          <w:rFonts w:asciiTheme="minorHAnsi" w:hAnsiTheme="minorHAnsi"/>
          <w:sz w:val="22"/>
          <w:szCs w:val="22"/>
        </w:rPr>
        <w:t xml:space="preserve"> by </w:t>
      </w:r>
      <w:r w:rsidR="00833842">
        <w:rPr>
          <w:rFonts w:asciiTheme="minorHAnsi" w:hAnsiTheme="minorHAnsi"/>
          <w:sz w:val="22"/>
          <w:szCs w:val="22"/>
        </w:rPr>
        <w:t>COVID-19</w:t>
      </w:r>
      <w:r>
        <w:rPr>
          <w:rFonts w:asciiTheme="minorHAnsi" w:hAnsiTheme="minorHAnsi"/>
          <w:sz w:val="22"/>
          <w:szCs w:val="22"/>
        </w:rPr>
        <w:t xml:space="preserve"> and has determined that certain insureds warrant a premium refund to reflect a reduction in exposure. </w:t>
      </w:r>
      <w:r w:rsidR="00C635C0">
        <w:rPr>
          <w:rFonts w:asciiTheme="minorHAnsi" w:hAnsiTheme="minorHAnsi"/>
          <w:sz w:val="22"/>
          <w:szCs w:val="22"/>
        </w:rPr>
        <w:t>The narrative below describe</w:t>
      </w:r>
      <w:r w:rsidR="00A31701">
        <w:rPr>
          <w:rFonts w:asciiTheme="minorHAnsi" w:hAnsiTheme="minorHAnsi"/>
          <w:sz w:val="22"/>
          <w:szCs w:val="22"/>
        </w:rPr>
        <w:t>s</w:t>
      </w:r>
      <w:r w:rsidR="00C635C0">
        <w:rPr>
          <w:rFonts w:asciiTheme="minorHAnsi" w:hAnsiTheme="minorHAnsi"/>
          <w:sz w:val="22"/>
          <w:szCs w:val="22"/>
        </w:rPr>
        <w:t xml:space="preserve"> the </w:t>
      </w:r>
      <w:r>
        <w:rPr>
          <w:rFonts w:asciiTheme="minorHAnsi" w:hAnsiTheme="minorHAnsi"/>
          <w:sz w:val="22"/>
          <w:szCs w:val="22"/>
        </w:rPr>
        <w:t xml:space="preserve">one-time </w:t>
      </w:r>
      <w:r w:rsidR="00C635C0">
        <w:rPr>
          <w:rFonts w:asciiTheme="minorHAnsi" w:hAnsiTheme="minorHAnsi"/>
          <w:sz w:val="22"/>
          <w:szCs w:val="22"/>
        </w:rPr>
        <w:t xml:space="preserve">refund approach </w:t>
      </w:r>
      <w:r>
        <w:rPr>
          <w:rFonts w:asciiTheme="minorHAnsi" w:hAnsiTheme="minorHAnsi"/>
          <w:sz w:val="22"/>
          <w:szCs w:val="22"/>
        </w:rPr>
        <w:t xml:space="preserve">BHSIC </w:t>
      </w:r>
      <w:r w:rsidR="00833842">
        <w:rPr>
          <w:rFonts w:asciiTheme="minorHAnsi" w:hAnsiTheme="minorHAnsi"/>
          <w:sz w:val="22"/>
          <w:szCs w:val="22"/>
        </w:rPr>
        <w:t>is in the process of executing to provide relief to</w:t>
      </w:r>
      <w:r w:rsidR="00047488">
        <w:rPr>
          <w:rFonts w:asciiTheme="minorHAnsi" w:hAnsiTheme="minorHAnsi"/>
          <w:sz w:val="22"/>
          <w:szCs w:val="22"/>
        </w:rPr>
        <w:t xml:space="preserve"> certain</w:t>
      </w:r>
      <w:r w:rsidR="00833842">
        <w:rPr>
          <w:rFonts w:asciiTheme="minorHAnsi" w:hAnsiTheme="minorHAnsi"/>
          <w:sz w:val="22"/>
          <w:szCs w:val="22"/>
        </w:rPr>
        <w:t xml:space="preserve"> impacted </w:t>
      </w:r>
      <w:r w:rsidR="00047488">
        <w:rPr>
          <w:rFonts w:asciiTheme="minorHAnsi" w:hAnsiTheme="minorHAnsi"/>
          <w:sz w:val="22"/>
          <w:szCs w:val="22"/>
        </w:rPr>
        <w:t>policyholders</w:t>
      </w:r>
      <w:r w:rsidR="00833842">
        <w:rPr>
          <w:rFonts w:asciiTheme="minorHAnsi" w:hAnsiTheme="minorHAnsi"/>
          <w:sz w:val="22"/>
          <w:szCs w:val="22"/>
        </w:rPr>
        <w:t xml:space="preserve">. </w:t>
      </w:r>
      <w:r w:rsidR="00B01673" w:rsidRPr="00FC1FA1">
        <w:rPr>
          <w:rFonts w:asciiTheme="minorHAnsi" w:hAnsiTheme="minorHAnsi"/>
          <w:sz w:val="22"/>
          <w:szCs w:val="22"/>
        </w:rPr>
        <w:t>The return premium will be in the form of a reduction to future premium payments</w:t>
      </w:r>
      <w:r w:rsidR="005B15D3">
        <w:rPr>
          <w:rFonts w:asciiTheme="minorHAnsi" w:hAnsiTheme="minorHAnsi"/>
          <w:sz w:val="22"/>
          <w:szCs w:val="22"/>
        </w:rPr>
        <w:t xml:space="preserve">. In the event </w:t>
      </w:r>
      <w:r w:rsidR="00B01673">
        <w:rPr>
          <w:rFonts w:asciiTheme="minorHAnsi" w:hAnsiTheme="minorHAnsi"/>
          <w:sz w:val="22"/>
          <w:szCs w:val="22"/>
        </w:rPr>
        <w:t>the policy is already paid in full</w:t>
      </w:r>
      <w:r w:rsidR="005B15D3">
        <w:rPr>
          <w:rFonts w:asciiTheme="minorHAnsi" w:hAnsiTheme="minorHAnsi"/>
          <w:sz w:val="22"/>
          <w:szCs w:val="22"/>
        </w:rPr>
        <w:t>, a refund check will be issued</w:t>
      </w:r>
      <w:r w:rsidR="00B01673">
        <w:rPr>
          <w:rFonts w:asciiTheme="minorHAnsi" w:hAnsiTheme="minorHAnsi"/>
          <w:sz w:val="22"/>
          <w:szCs w:val="22"/>
        </w:rPr>
        <w:t>.</w:t>
      </w:r>
      <w:r w:rsidR="00F63514">
        <w:rPr>
          <w:rFonts w:asciiTheme="minorHAnsi" w:hAnsiTheme="minorHAnsi"/>
          <w:sz w:val="22"/>
          <w:szCs w:val="22"/>
        </w:rPr>
        <w:t xml:space="preserve"> </w:t>
      </w:r>
    </w:p>
    <w:p w14:paraId="2E8C6BFD" w14:textId="77777777" w:rsidR="00C635C0" w:rsidRDefault="00C635C0" w:rsidP="00952AE1">
      <w:pPr>
        <w:jc w:val="both"/>
        <w:rPr>
          <w:rFonts w:asciiTheme="minorHAnsi" w:hAnsiTheme="minorHAnsi"/>
          <w:sz w:val="22"/>
          <w:szCs w:val="22"/>
        </w:rPr>
      </w:pPr>
    </w:p>
    <w:p w14:paraId="0D25BEE0" w14:textId="680C0EF9" w:rsidR="00C635C0" w:rsidRPr="00C635C0" w:rsidRDefault="00C635C0" w:rsidP="00952AE1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C635C0">
        <w:rPr>
          <w:rFonts w:asciiTheme="minorHAnsi" w:hAnsiTheme="minorHAnsi"/>
          <w:b/>
          <w:bCs/>
          <w:sz w:val="22"/>
          <w:szCs w:val="22"/>
        </w:rPr>
        <w:t>Commercial Automobile</w:t>
      </w:r>
    </w:p>
    <w:p w14:paraId="7B35240C" w14:textId="57D11EA7" w:rsidR="00A71BF8" w:rsidRDefault="00A71BF8" w:rsidP="00952AE1">
      <w:p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</w:p>
    <w:p w14:paraId="5B5DD8ED" w14:textId="52A481EB" w:rsidR="00A71BF8" w:rsidRDefault="00A71BF8" w:rsidP="00952AE1">
      <w:p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  <w:r w:rsidRPr="00A71BF8">
        <w:rPr>
          <w:rFonts w:asciiTheme="minorHAnsi" w:hAnsiTheme="minorHAnsi"/>
          <w:sz w:val="22"/>
          <w:szCs w:val="22"/>
        </w:rPr>
        <w:t xml:space="preserve">BHSIC’s </w:t>
      </w:r>
      <w:r>
        <w:rPr>
          <w:rFonts w:asciiTheme="minorHAnsi" w:hAnsiTheme="minorHAnsi"/>
          <w:sz w:val="22"/>
          <w:szCs w:val="22"/>
        </w:rPr>
        <w:t xml:space="preserve">current </w:t>
      </w:r>
      <w:r w:rsidR="004E2DB8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ommercial </w:t>
      </w:r>
      <w:r w:rsidR="004E2DB8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utomobile book of business is entirely comprised of risks written under </w:t>
      </w:r>
      <w:r w:rsidR="000E6451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Human &amp; Social Services program. </w:t>
      </w:r>
      <w:r w:rsidRPr="00A71BF8">
        <w:rPr>
          <w:rFonts w:asciiTheme="minorHAnsi" w:hAnsiTheme="minorHAnsi"/>
          <w:sz w:val="22"/>
          <w:szCs w:val="22"/>
        </w:rPr>
        <w:t xml:space="preserve">The operations of these insureds include </w:t>
      </w:r>
      <w:r w:rsidR="007A074F">
        <w:rPr>
          <w:rFonts w:asciiTheme="minorHAnsi" w:hAnsiTheme="minorHAnsi"/>
          <w:sz w:val="22"/>
          <w:szCs w:val="22"/>
        </w:rPr>
        <w:t>r</w:t>
      </w:r>
      <w:r w:rsidRPr="00A71BF8">
        <w:rPr>
          <w:rFonts w:asciiTheme="minorHAnsi" w:hAnsiTheme="minorHAnsi"/>
          <w:sz w:val="22"/>
          <w:szCs w:val="22"/>
        </w:rPr>
        <w:t xml:space="preserve">esidential </w:t>
      </w:r>
      <w:r w:rsidR="007A074F">
        <w:rPr>
          <w:rFonts w:asciiTheme="minorHAnsi" w:hAnsiTheme="minorHAnsi"/>
          <w:sz w:val="22"/>
          <w:szCs w:val="22"/>
        </w:rPr>
        <w:t>g</w:t>
      </w:r>
      <w:r w:rsidRPr="00A71BF8">
        <w:rPr>
          <w:rFonts w:asciiTheme="minorHAnsi" w:hAnsiTheme="minorHAnsi"/>
          <w:sz w:val="22"/>
          <w:szCs w:val="22"/>
        </w:rPr>
        <w:t xml:space="preserve">roup </w:t>
      </w:r>
      <w:r w:rsidR="007A074F">
        <w:rPr>
          <w:rFonts w:asciiTheme="minorHAnsi" w:hAnsiTheme="minorHAnsi"/>
          <w:sz w:val="22"/>
          <w:szCs w:val="22"/>
        </w:rPr>
        <w:t>h</w:t>
      </w:r>
      <w:r w:rsidRPr="00A71BF8">
        <w:rPr>
          <w:rFonts w:asciiTheme="minorHAnsi" w:hAnsiTheme="minorHAnsi"/>
          <w:sz w:val="22"/>
          <w:szCs w:val="22"/>
        </w:rPr>
        <w:t xml:space="preserve">omes, </w:t>
      </w:r>
      <w:r w:rsidR="007A074F">
        <w:rPr>
          <w:rFonts w:asciiTheme="minorHAnsi" w:hAnsiTheme="minorHAnsi"/>
          <w:sz w:val="22"/>
          <w:szCs w:val="22"/>
        </w:rPr>
        <w:t>r</w:t>
      </w:r>
      <w:r w:rsidRPr="00A71BF8">
        <w:rPr>
          <w:rFonts w:asciiTheme="minorHAnsi" w:hAnsiTheme="minorHAnsi"/>
          <w:sz w:val="22"/>
          <w:szCs w:val="22"/>
        </w:rPr>
        <w:t xml:space="preserve">espite </w:t>
      </w:r>
      <w:r w:rsidR="007A074F">
        <w:rPr>
          <w:rFonts w:asciiTheme="minorHAnsi" w:hAnsiTheme="minorHAnsi"/>
          <w:sz w:val="22"/>
          <w:szCs w:val="22"/>
        </w:rPr>
        <w:t>c</w:t>
      </w:r>
      <w:r w:rsidRPr="00A71BF8">
        <w:rPr>
          <w:rFonts w:asciiTheme="minorHAnsi" w:hAnsiTheme="minorHAnsi"/>
          <w:sz w:val="22"/>
          <w:szCs w:val="22"/>
        </w:rPr>
        <w:t xml:space="preserve">are, </w:t>
      </w:r>
      <w:r w:rsidR="007A074F">
        <w:rPr>
          <w:rFonts w:asciiTheme="minorHAnsi" w:hAnsiTheme="minorHAnsi"/>
          <w:sz w:val="22"/>
          <w:szCs w:val="22"/>
        </w:rPr>
        <w:t>s</w:t>
      </w:r>
      <w:r w:rsidRPr="00A71BF8">
        <w:rPr>
          <w:rFonts w:asciiTheme="minorHAnsi" w:hAnsiTheme="minorHAnsi"/>
          <w:sz w:val="22"/>
          <w:szCs w:val="22"/>
        </w:rPr>
        <w:t xml:space="preserve">ocial </w:t>
      </w:r>
      <w:r w:rsidR="007A074F">
        <w:rPr>
          <w:rFonts w:asciiTheme="minorHAnsi" w:hAnsiTheme="minorHAnsi"/>
          <w:sz w:val="22"/>
          <w:szCs w:val="22"/>
        </w:rPr>
        <w:t>w</w:t>
      </w:r>
      <w:r w:rsidRPr="00A71BF8">
        <w:rPr>
          <w:rFonts w:asciiTheme="minorHAnsi" w:hAnsiTheme="minorHAnsi"/>
          <w:sz w:val="22"/>
          <w:szCs w:val="22"/>
        </w:rPr>
        <w:t xml:space="preserve">ork, </w:t>
      </w:r>
      <w:r w:rsidR="007A074F">
        <w:rPr>
          <w:rFonts w:asciiTheme="minorHAnsi" w:hAnsiTheme="minorHAnsi"/>
          <w:sz w:val="22"/>
          <w:szCs w:val="22"/>
        </w:rPr>
        <w:t>v</w:t>
      </w:r>
      <w:r w:rsidRPr="00A71BF8">
        <w:rPr>
          <w:rFonts w:asciiTheme="minorHAnsi" w:hAnsiTheme="minorHAnsi"/>
          <w:sz w:val="22"/>
          <w:szCs w:val="22"/>
        </w:rPr>
        <w:t xml:space="preserve">ocational and </w:t>
      </w:r>
      <w:r w:rsidR="007A074F">
        <w:rPr>
          <w:rFonts w:asciiTheme="minorHAnsi" w:hAnsiTheme="minorHAnsi"/>
          <w:sz w:val="22"/>
          <w:szCs w:val="22"/>
        </w:rPr>
        <w:t>e</w:t>
      </w:r>
      <w:r w:rsidRPr="00A71BF8">
        <w:rPr>
          <w:rFonts w:asciiTheme="minorHAnsi" w:hAnsiTheme="minorHAnsi"/>
          <w:sz w:val="22"/>
          <w:szCs w:val="22"/>
        </w:rPr>
        <w:t xml:space="preserve">ducational </w:t>
      </w:r>
      <w:r w:rsidR="007A074F">
        <w:rPr>
          <w:rFonts w:asciiTheme="minorHAnsi" w:hAnsiTheme="minorHAnsi"/>
          <w:sz w:val="22"/>
          <w:szCs w:val="22"/>
        </w:rPr>
        <w:t>s</w:t>
      </w:r>
      <w:r w:rsidRPr="00A71BF8">
        <w:rPr>
          <w:rFonts w:asciiTheme="minorHAnsi" w:hAnsiTheme="minorHAnsi"/>
          <w:sz w:val="22"/>
          <w:szCs w:val="22"/>
        </w:rPr>
        <w:t xml:space="preserve">ervices for disabled individuals and </w:t>
      </w:r>
      <w:r w:rsidR="007A074F">
        <w:rPr>
          <w:rFonts w:asciiTheme="minorHAnsi" w:hAnsiTheme="minorHAnsi"/>
          <w:sz w:val="22"/>
          <w:szCs w:val="22"/>
        </w:rPr>
        <w:t>y</w:t>
      </w:r>
      <w:r w:rsidRPr="00A71BF8">
        <w:rPr>
          <w:rFonts w:asciiTheme="minorHAnsi" w:hAnsiTheme="minorHAnsi"/>
          <w:sz w:val="22"/>
          <w:szCs w:val="22"/>
        </w:rPr>
        <w:t xml:space="preserve">outh </w:t>
      </w:r>
      <w:r w:rsidR="007A074F">
        <w:rPr>
          <w:rFonts w:asciiTheme="minorHAnsi" w:hAnsiTheme="minorHAnsi"/>
          <w:sz w:val="22"/>
          <w:szCs w:val="22"/>
        </w:rPr>
        <w:t>p</w:t>
      </w:r>
      <w:r w:rsidRPr="00A71BF8">
        <w:rPr>
          <w:rFonts w:asciiTheme="minorHAnsi" w:hAnsiTheme="minorHAnsi"/>
          <w:sz w:val="22"/>
          <w:szCs w:val="22"/>
        </w:rPr>
        <w:t xml:space="preserve">rograms including </w:t>
      </w:r>
      <w:r w:rsidR="007A074F">
        <w:rPr>
          <w:rFonts w:asciiTheme="minorHAnsi" w:hAnsiTheme="minorHAnsi"/>
          <w:sz w:val="22"/>
          <w:szCs w:val="22"/>
        </w:rPr>
        <w:t>c</w:t>
      </w:r>
      <w:r w:rsidRPr="00A71BF8">
        <w:rPr>
          <w:rFonts w:asciiTheme="minorHAnsi" w:hAnsiTheme="minorHAnsi"/>
          <w:sz w:val="22"/>
          <w:szCs w:val="22"/>
        </w:rPr>
        <w:t xml:space="preserve">hild </w:t>
      </w:r>
      <w:r w:rsidR="007A074F">
        <w:rPr>
          <w:rFonts w:asciiTheme="minorHAnsi" w:hAnsiTheme="minorHAnsi"/>
          <w:sz w:val="22"/>
          <w:szCs w:val="22"/>
        </w:rPr>
        <w:t>c</w:t>
      </w:r>
      <w:r w:rsidRPr="00A71BF8">
        <w:rPr>
          <w:rFonts w:asciiTheme="minorHAnsi" w:hAnsiTheme="minorHAnsi"/>
          <w:sz w:val="22"/>
          <w:szCs w:val="22"/>
        </w:rPr>
        <w:t xml:space="preserve">are.  </w:t>
      </w:r>
      <w:r>
        <w:rPr>
          <w:rFonts w:asciiTheme="minorHAnsi" w:hAnsiTheme="minorHAnsi"/>
          <w:sz w:val="22"/>
          <w:szCs w:val="22"/>
        </w:rPr>
        <w:t>In light of the fact that many of these insureds are considered “essential”</w:t>
      </w:r>
      <w:r w:rsidR="00507FF9">
        <w:rPr>
          <w:rFonts w:asciiTheme="minorHAnsi" w:hAnsiTheme="minorHAnsi"/>
          <w:sz w:val="22"/>
          <w:szCs w:val="22"/>
        </w:rPr>
        <w:t xml:space="preserve"> businesses,</w:t>
      </w:r>
      <w:r>
        <w:rPr>
          <w:rFonts w:asciiTheme="minorHAnsi" w:hAnsiTheme="minorHAnsi"/>
          <w:sz w:val="22"/>
          <w:szCs w:val="22"/>
        </w:rPr>
        <w:t xml:space="preserve"> and therefore continue to operate during state mandated </w:t>
      </w:r>
      <w:r w:rsidR="004D2388">
        <w:rPr>
          <w:rFonts w:asciiTheme="minorHAnsi" w:hAnsiTheme="minorHAnsi"/>
          <w:sz w:val="22"/>
          <w:szCs w:val="22"/>
        </w:rPr>
        <w:t>shutdowns</w:t>
      </w:r>
      <w:r>
        <w:rPr>
          <w:rFonts w:asciiTheme="minorHAnsi" w:hAnsiTheme="minorHAnsi"/>
          <w:sz w:val="22"/>
          <w:szCs w:val="22"/>
        </w:rPr>
        <w:t xml:space="preserve">, </w:t>
      </w:r>
      <w:r w:rsidRPr="00A71BF8">
        <w:rPr>
          <w:rFonts w:asciiTheme="minorHAnsi" w:hAnsiTheme="minorHAnsi"/>
          <w:sz w:val="22"/>
          <w:szCs w:val="22"/>
        </w:rPr>
        <w:t>a blanket approach to premium relief</w:t>
      </w:r>
      <w:r w:rsidR="006B10CC">
        <w:rPr>
          <w:rFonts w:asciiTheme="minorHAnsi" w:hAnsiTheme="minorHAnsi"/>
          <w:sz w:val="22"/>
          <w:szCs w:val="22"/>
        </w:rPr>
        <w:t xml:space="preserve"> would not be appropriate</w:t>
      </w:r>
      <w:r w:rsidRPr="00A71BF8">
        <w:rPr>
          <w:rFonts w:asciiTheme="minorHAnsi" w:hAnsiTheme="minorHAnsi"/>
          <w:sz w:val="22"/>
          <w:szCs w:val="22"/>
        </w:rPr>
        <w:t xml:space="preserve">. </w:t>
      </w:r>
      <w:r w:rsidR="004D2388">
        <w:rPr>
          <w:rFonts w:asciiTheme="minorHAnsi" w:hAnsiTheme="minorHAnsi"/>
          <w:sz w:val="22"/>
          <w:szCs w:val="22"/>
        </w:rPr>
        <w:t xml:space="preserve">Instead, </w:t>
      </w:r>
      <w:r w:rsidR="000E6451">
        <w:rPr>
          <w:rFonts w:asciiTheme="minorHAnsi" w:hAnsiTheme="minorHAnsi"/>
          <w:sz w:val="22"/>
          <w:szCs w:val="22"/>
        </w:rPr>
        <w:t>BHSIC’s</w:t>
      </w:r>
      <w:r w:rsidR="00D34F7F">
        <w:rPr>
          <w:rFonts w:asciiTheme="minorHAnsi" w:hAnsiTheme="minorHAnsi"/>
          <w:sz w:val="22"/>
          <w:szCs w:val="22"/>
        </w:rPr>
        <w:t xml:space="preserve"> underwriting team </w:t>
      </w:r>
      <w:r w:rsidR="004D2388">
        <w:rPr>
          <w:rFonts w:asciiTheme="minorHAnsi" w:hAnsiTheme="minorHAnsi"/>
          <w:sz w:val="22"/>
          <w:szCs w:val="22"/>
        </w:rPr>
        <w:t xml:space="preserve">examined </w:t>
      </w:r>
      <w:r w:rsidR="000E6451">
        <w:rPr>
          <w:rFonts w:asciiTheme="minorHAnsi" w:hAnsiTheme="minorHAnsi"/>
          <w:sz w:val="22"/>
          <w:szCs w:val="22"/>
        </w:rPr>
        <w:t xml:space="preserve">the entire </w:t>
      </w:r>
      <w:r w:rsidR="004D2388">
        <w:rPr>
          <w:rFonts w:asciiTheme="minorHAnsi" w:hAnsiTheme="minorHAnsi"/>
          <w:sz w:val="22"/>
          <w:szCs w:val="22"/>
        </w:rPr>
        <w:t>book of business in detail and ha</w:t>
      </w:r>
      <w:r w:rsidR="00D34F7F">
        <w:rPr>
          <w:rFonts w:asciiTheme="minorHAnsi" w:hAnsiTheme="minorHAnsi"/>
          <w:sz w:val="22"/>
          <w:szCs w:val="22"/>
        </w:rPr>
        <w:t>s</w:t>
      </w:r>
      <w:r w:rsidR="004D2388">
        <w:rPr>
          <w:rFonts w:asciiTheme="minorHAnsi" w:hAnsiTheme="minorHAnsi"/>
          <w:sz w:val="22"/>
          <w:szCs w:val="22"/>
        </w:rPr>
        <w:t xml:space="preserve"> determined t</w:t>
      </w:r>
      <w:r w:rsidR="006B10CC">
        <w:rPr>
          <w:rFonts w:asciiTheme="minorHAnsi" w:hAnsiTheme="minorHAnsi"/>
          <w:sz w:val="22"/>
          <w:szCs w:val="22"/>
        </w:rPr>
        <w:t xml:space="preserve">he following actions </w:t>
      </w:r>
      <w:r w:rsidR="00D34F7F">
        <w:rPr>
          <w:rFonts w:asciiTheme="minorHAnsi" w:hAnsiTheme="minorHAnsi"/>
          <w:sz w:val="22"/>
          <w:szCs w:val="22"/>
        </w:rPr>
        <w:t xml:space="preserve">would best match </w:t>
      </w:r>
      <w:r w:rsidR="006B10CC">
        <w:rPr>
          <w:rFonts w:asciiTheme="minorHAnsi" w:hAnsiTheme="minorHAnsi"/>
          <w:sz w:val="22"/>
          <w:szCs w:val="22"/>
        </w:rPr>
        <w:t xml:space="preserve">premium relief </w:t>
      </w:r>
      <w:r w:rsidR="00D34F7F">
        <w:rPr>
          <w:rFonts w:asciiTheme="minorHAnsi" w:hAnsiTheme="minorHAnsi"/>
          <w:sz w:val="22"/>
          <w:szCs w:val="22"/>
        </w:rPr>
        <w:t xml:space="preserve">with exposure reduction: </w:t>
      </w:r>
    </w:p>
    <w:p w14:paraId="52B00D2A" w14:textId="46F5D63B" w:rsidR="00A71BF8" w:rsidRDefault="00A71BF8" w:rsidP="00952AE1">
      <w:p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</w:p>
    <w:p w14:paraId="08288424" w14:textId="00C562F0" w:rsidR="004D2388" w:rsidRDefault="004D2388" w:rsidP="00952AE1">
      <w:pPr>
        <w:pStyle w:val="ListParagraph"/>
        <w:numPr>
          <w:ilvl w:val="0"/>
          <w:numId w:val="8"/>
        </w:num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any insureds with at least one owned vehicle in </w:t>
      </w:r>
      <w:r w:rsidR="000E6451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“</w:t>
      </w:r>
      <w:r w:rsidRPr="004D2388">
        <w:rPr>
          <w:rFonts w:asciiTheme="minorHAnsi" w:hAnsiTheme="minorHAnsi"/>
          <w:sz w:val="22"/>
          <w:szCs w:val="22"/>
        </w:rPr>
        <w:t>Youth</w:t>
      </w:r>
      <w:r>
        <w:rPr>
          <w:rFonts w:asciiTheme="minorHAnsi" w:hAnsiTheme="minorHAnsi"/>
          <w:sz w:val="22"/>
          <w:szCs w:val="22"/>
        </w:rPr>
        <w:t>”</w:t>
      </w:r>
      <w:r w:rsidRPr="004D2388">
        <w:rPr>
          <w:rFonts w:asciiTheme="minorHAnsi" w:hAnsiTheme="minorHAnsi"/>
          <w:sz w:val="22"/>
          <w:szCs w:val="22"/>
        </w:rPr>
        <w:t xml:space="preserve"> and </w:t>
      </w:r>
      <w:r>
        <w:rPr>
          <w:rFonts w:asciiTheme="minorHAnsi" w:hAnsiTheme="minorHAnsi"/>
          <w:sz w:val="22"/>
          <w:szCs w:val="22"/>
        </w:rPr>
        <w:t>“</w:t>
      </w:r>
      <w:r w:rsidRPr="004D2388">
        <w:rPr>
          <w:rFonts w:asciiTheme="minorHAnsi" w:hAnsiTheme="minorHAnsi"/>
          <w:sz w:val="22"/>
          <w:szCs w:val="22"/>
        </w:rPr>
        <w:t>Child Care</w:t>
      </w:r>
      <w:r>
        <w:rPr>
          <w:rFonts w:asciiTheme="minorHAnsi" w:hAnsiTheme="minorHAnsi"/>
          <w:sz w:val="22"/>
          <w:szCs w:val="22"/>
        </w:rPr>
        <w:t>”</w:t>
      </w:r>
      <w:r w:rsidRPr="004D2388">
        <w:rPr>
          <w:rFonts w:asciiTheme="minorHAnsi" w:hAnsiTheme="minorHAnsi"/>
          <w:sz w:val="22"/>
          <w:szCs w:val="22"/>
        </w:rPr>
        <w:t xml:space="preserve"> </w:t>
      </w:r>
      <w:r w:rsidR="006B10CC">
        <w:rPr>
          <w:rFonts w:asciiTheme="minorHAnsi" w:hAnsiTheme="minorHAnsi"/>
          <w:sz w:val="22"/>
          <w:szCs w:val="22"/>
        </w:rPr>
        <w:t>p</w:t>
      </w:r>
      <w:r w:rsidRPr="004D2388">
        <w:rPr>
          <w:rFonts w:asciiTheme="minorHAnsi" w:hAnsiTheme="minorHAnsi"/>
          <w:sz w:val="22"/>
          <w:szCs w:val="22"/>
        </w:rPr>
        <w:t xml:space="preserve">rogram </w:t>
      </w:r>
      <w:r w:rsidR="006B10CC">
        <w:rPr>
          <w:rFonts w:asciiTheme="minorHAnsi" w:hAnsiTheme="minorHAnsi"/>
          <w:sz w:val="22"/>
          <w:szCs w:val="22"/>
        </w:rPr>
        <w:t>s</w:t>
      </w:r>
      <w:r w:rsidRPr="004D2388">
        <w:rPr>
          <w:rFonts w:asciiTheme="minorHAnsi" w:hAnsiTheme="minorHAnsi"/>
          <w:sz w:val="22"/>
          <w:szCs w:val="22"/>
        </w:rPr>
        <w:t>egments</w:t>
      </w:r>
      <w:r>
        <w:rPr>
          <w:rFonts w:asciiTheme="minorHAnsi" w:hAnsiTheme="minorHAnsi"/>
          <w:sz w:val="22"/>
          <w:szCs w:val="22"/>
        </w:rPr>
        <w:t xml:space="preserve">, a one-time premium credit </w:t>
      </w:r>
      <w:r w:rsidRPr="004D2388">
        <w:rPr>
          <w:rFonts w:asciiTheme="minorHAnsi" w:hAnsiTheme="minorHAnsi"/>
          <w:sz w:val="22"/>
          <w:szCs w:val="22"/>
        </w:rPr>
        <w:t xml:space="preserve">equal to 15% of the </w:t>
      </w:r>
      <w:r w:rsidRPr="004D2388">
        <w:rPr>
          <w:rFonts w:asciiTheme="minorHAnsi" w:hAnsiTheme="minorHAnsi"/>
          <w:sz w:val="22"/>
          <w:szCs w:val="22"/>
          <w:u w:val="single"/>
        </w:rPr>
        <w:t>total</w:t>
      </w:r>
      <w:r w:rsidRPr="004D2388">
        <w:rPr>
          <w:rFonts w:asciiTheme="minorHAnsi" w:hAnsiTheme="minorHAnsi"/>
          <w:sz w:val="22"/>
          <w:szCs w:val="22"/>
        </w:rPr>
        <w:t xml:space="preserve"> annual </w:t>
      </w:r>
      <w:r w:rsidR="007A074F">
        <w:rPr>
          <w:rFonts w:asciiTheme="minorHAnsi" w:hAnsiTheme="minorHAnsi"/>
          <w:sz w:val="22"/>
          <w:szCs w:val="22"/>
        </w:rPr>
        <w:t>w</w:t>
      </w:r>
      <w:r w:rsidRPr="004D2388">
        <w:rPr>
          <w:rFonts w:asciiTheme="minorHAnsi" w:hAnsiTheme="minorHAnsi"/>
          <w:sz w:val="22"/>
          <w:szCs w:val="22"/>
        </w:rPr>
        <w:t xml:space="preserve">ritten </w:t>
      </w:r>
      <w:r w:rsidR="007A074F">
        <w:rPr>
          <w:rFonts w:asciiTheme="minorHAnsi" w:hAnsiTheme="minorHAnsi"/>
          <w:sz w:val="22"/>
          <w:szCs w:val="22"/>
        </w:rPr>
        <w:t>p</w:t>
      </w:r>
      <w:r w:rsidRPr="004D2388">
        <w:rPr>
          <w:rFonts w:asciiTheme="minorHAnsi" w:hAnsiTheme="minorHAnsi"/>
          <w:sz w:val="22"/>
          <w:szCs w:val="22"/>
        </w:rPr>
        <w:t>remium for that policy</w:t>
      </w:r>
      <w:r w:rsidR="006B10CC">
        <w:rPr>
          <w:rFonts w:asciiTheme="minorHAnsi" w:hAnsiTheme="minorHAnsi"/>
          <w:sz w:val="22"/>
          <w:szCs w:val="22"/>
        </w:rPr>
        <w:t xml:space="preserve"> will be applied</w:t>
      </w:r>
      <w:r w:rsidRPr="004D2388">
        <w:rPr>
          <w:rFonts w:asciiTheme="minorHAnsi" w:hAnsiTheme="minorHAnsi"/>
          <w:sz w:val="22"/>
          <w:szCs w:val="22"/>
        </w:rPr>
        <w:t xml:space="preserve">.  </w:t>
      </w:r>
    </w:p>
    <w:p w14:paraId="32AE3B26" w14:textId="3EA0BE9C" w:rsidR="004D2388" w:rsidRPr="004D2388" w:rsidRDefault="004D2388" w:rsidP="00952AE1">
      <w:pPr>
        <w:pStyle w:val="ListParagraph"/>
        <w:numPr>
          <w:ilvl w:val="0"/>
          <w:numId w:val="8"/>
        </w:num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</w:t>
      </w:r>
      <w:r w:rsidR="006B10CC">
        <w:rPr>
          <w:rFonts w:asciiTheme="minorHAnsi" w:hAnsiTheme="minorHAnsi"/>
          <w:sz w:val="22"/>
          <w:szCs w:val="22"/>
        </w:rPr>
        <w:t xml:space="preserve">all other program segments, policies </w:t>
      </w:r>
      <w:r w:rsidR="006B10CC" w:rsidRPr="006B10CC">
        <w:rPr>
          <w:rFonts w:asciiTheme="minorHAnsi" w:hAnsiTheme="minorHAnsi"/>
          <w:sz w:val="22"/>
          <w:szCs w:val="22"/>
        </w:rPr>
        <w:t xml:space="preserve">with at least one owned vehicle that is classified as having 9 seats or more, </w:t>
      </w:r>
      <w:r w:rsidR="006B10CC">
        <w:rPr>
          <w:rFonts w:asciiTheme="minorHAnsi" w:hAnsiTheme="minorHAnsi"/>
          <w:sz w:val="22"/>
          <w:szCs w:val="22"/>
        </w:rPr>
        <w:t xml:space="preserve">will receive a one-time </w:t>
      </w:r>
      <w:r w:rsidR="006B10CC" w:rsidRPr="006B10CC">
        <w:rPr>
          <w:rFonts w:asciiTheme="minorHAnsi" w:hAnsiTheme="minorHAnsi"/>
          <w:sz w:val="22"/>
          <w:szCs w:val="22"/>
        </w:rPr>
        <w:t xml:space="preserve">premium credit equal to 15% of the </w:t>
      </w:r>
      <w:r w:rsidR="006B10CC" w:rsidRPr="003B04FF">
        <w:rPr>
          <w:rFonts w:asciiTheme="minorHAnsi" w:hAnsiTheme="minorHAnsi"/>
          <w:sz w:val="22"/>
          <w:szCs w:val="22"/>
          <w:u w:val="single"/>
        </w:rPr>
        <w:t>total</w:t>
      </w:r>
      <w:r w:rsidR="006B10CC" w:rsidRPr="006B10CC">
        <w:rPr>
          <w:rFonts w:asciiTheme="minorHAnsi" w:hAnsiTheme="minorHAnsi"/>
          <w:sz w:val="22"/>
          <w:szCs w:val="22"/>
        </w:rPr>
        <w:t xml:space="preserve"> annual </w:t>
      </w:r>
      <w:r w:rsidR="007A074F">
        <w:rPr>
          <w:rFonts w:asciiTheme="minorHAnsi" w:hAnsiTheme="minorHAnsi"/>
          <w:sz w:val="22"/>
          <w:szCs w:val="22"/>
        </w:rPr>
        <w:t>w</w:t>
      </w:r>
      <w:r w:rsidR="006B10CC" w:rsidRPr="006B10CC">
        <w:rPr>
          <w:rFonts w:asciiTheme="minorHAnsi" w:hAnsiTheme="minorHAnsi"/>
          <w:sz w:val="22"/>
          <w:szCs w:val="22"/>
        </w:rPr>
        <w:t xml:space="preserve">ritten </w:t>
      </w:r>
      <w:r w:rsidR="007A074F">
        <w:rPr>
          <w:rFonts w:asciiTheme="minorHAnsi" w:hAnsiTheme="minorHAnsi"/>
          <w:sz w:val="22"/>
          <w:szCs w:val="22"/>
        </w:rPr>
        <w:t>p</w:t>
      </w:r>
      <w:r w:rsidR="006B10CC" w:rsidRPr="006B10CC">
        <w:rPr>
          <w:rFonts w:asciiTheme="minorHAnsi" w:hAnsiTheme="minorHAnsi"/>
          <w:sz w:val="22"/>
          <w:szCs w:val="22"/>
        </w:rPr>
        <w:t xml:space="preserve">remium for each vehicle on the policy classified as having 9 seats or more.  </w:t>
      </w:r>
    </w:p>
    <w:p w14:paraId="2AE1DAEB" w14:textId="7BE0939E" w:rsidR="00A71BF8" w:rsidRDefault="00A71BF8" w:rsidP="00952AE1">
      <w:p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</w:p>
    <w:p w14:paraId="2DA983B5" w14:textId="361B474D" w:rsidR="003B04FF" w:rsidRDefault="00A71BF8" w:rsidP="00952AE1">
      <w:p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 of 4/1/2020, there were </w:t>
      </w:r>
      <w:r w:rsidR="005476B7">
        <w:rPr>
          <w:rFonts w:asciiTheme="minorHAnsi" w:hAnsiTheme="minorHAnsi"/>
          <w:sz w:val="22"/>
          <w:szCs w:val="22"/>
        </w:rPr>
        <w:t>258</w:t>
      </w:r>
      <w:r w:rsidR="003E069E">
        <w:rPr>
          <w:rFonts w:asciiTheme="minorHAnsi" w:hAnsiTheme="minorHAnsi"/>
          <w:sz w:val="22"/>
          <w:szCs w:val="22"/>
        </w:rPr>
        <w:t xml:space="preserve"> (WP: $</w:t>
      </w:r>
      <w:r w:rsidR="005476B7">
        <w:rPr>
          <w:rFonts w:asciiTheme="minorHAnsi" w:hAnsiTheme="minorHAnsi"/>
          <w:sz w:val="22"/>
          <w:szCs w:val="22"/>
        </w:rPr>
        <w:t>2,899,905</w:t>
      </w:r>
      <w:r w:rsidR="003E069E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inforce </w:t>
      </w:r>
      <w:r w:rsidR="003B04FF">
        <w:rPr>
          <w:rFonts w:asciiTheme="minorHAnsi" w:hAnsiTheme="minorHAnsi"/>
          <w:sz w:val="22"/>
          <w:szCs w:val="22"/>
        </w:rPr>
        <w:t>Commercial Automobile policies</w:t>
      </w:r>
      <w:r w:rsidR="00914A95">
        <w:rPr>
          <w:rFonts w:asciiTheme="minorHAnsi" w:hAnsiTheme="minorHAnsi"/>
          <w:sz w:val="22"/>
          <w:szCs w:val="22"/>
        </w:rPr>
        <w:t xml:space="preserve"> with </w:t>
      </w:r>
      <w:r w:rsidR="00B44732">
        <w:rPr>
          <w:rFonts w:asciiTheme="minorHAnsi" w:hAnsiTheme="minorHAnsi"/>
          <w:sz w:val="22"/>
          <w:szCs w:val="22"/>
        </w:rPr>
        <w:t>California</w:t>
      </w:r>
      <w:r w:rsidR="00914A95">
        <w:rPr>
          <w:rFonts w:asciiTheme="minorHAnsi" w:hAnsiTheme="minorHAnsi"/>
          <w:sz w:val="22"/>
          <w:szCs w:val="22"/>
        </w:rPr>
        <w:t xml:space="preserve"> exposure</w:t>
      </w:r>
      <w:r w:rsidR="003E069E">
        <w:rPr>
          <w:rFonts w:asciiTheme="minorHAnsi" w:hAnsiTheme="minorHAnsi"/>
          <w:sz w:val="22"/>
          <w:szCs w:val="22"/>
        </w:rPr>
        <w:t>.</w:t>
      </w:r>
      <w:r w:rsidR="004D2388">
        <w:rPr>
          <w:rFonts w:asciiTheme="minorHAnsi" w:hAnsiTheme="minorHAnsi"/>
          <w:sz w:val="22"/>
          <w:szCs w:val="22"/>
        </w:rPr>
        <w:t xml:space="preserve"> </w:t>
      </w:r>
      <w:r w:rsidR="003B04FF">
        <w:rPr>
          <w:rFonts w:asciiTheme="minorHAnsi" w:hAnsiTheme="minorHAnsi"/>
          <w:sz w:val="22"/>
          <w:szCs w:val="22"/>
        </w:rPr>
        <w:t xml:space="preserve">Using the aforementioned logic, </w:t>
      </w:r>
      <w:r w:rsidR="005476B7">
        <w:rPr>
          <w:rFonts w:asciiTheme="minorHAnsi" w:hAnsiTheme="minorHAnsi"/>
          <w:sz w:val="22"/>
          <w:szCs w:val="22"/>
        </w:rPr>
        <w:t xml:space="preserve">110 </w:t>
      </w:r>
      <w:r w:rsidR="003B04FF">
        <w:rPr>
          <w:rFonts w:asciiTheme="minorHAnsi" w:hAnsiTheme="minorHAnsi"/>
          <w:sz w:val="22"/>
          <w:szCs w:val="22"/>
        </w:rPr>
        <w:t xml:space="preserve">of these policyholders will be receiving a premium </w:t>
      </w:r>
      <w:r w:rsidR="00914A95">
        <w:rPr>
          <w:rFonts w:asciiTheme="minorHAnsi" w:hAnsiTheme="minorHAnsi"/>
          <w:sz w:val="22"/>
          <w:szCs w:val="22"/>
        </w:rPr>
        <w:t>credit</w:t>
      </w:r>
      <w:r w:rsidR="00B44732">
        <w:rPr>
          <w:rFonts w:asciiTheme="minorHAnsi" w:hAnsiTheme="minorHAnsi"/>
          <w:sz w:val="22"/>
          <w:szCs w:val="22"/>
        </w:rPr>
        <w:t>/refund</w:t>
      </w:r>
      <w:r w:rsidR="003B04FF">
        <w:rPr>
          <w:rFonts w:asciiTheme="minorHAnsi" w:hAnsiTheme="minorHAnsi"/>
          <w:sz w:val="22"/>
          <w:szCs w:val="22"/>
        </w:rPr>
        <w:t>.</w:t>
      </w:r>
      <w:r w:rsidR="00D34F7F">
        <w:rPr>
          <w:rFonts w:asciiTheme="minorHAnsi" w:hAnsiTheme="minorHAnsi"/>
          <w:sz w:val="22"/>
          <w:szCs w:val="22"/>
        </w:rPr>
        <w:t xml:space="preserve"> The total calculated </w:t>
      </w:r>
      <w:r w:rsidR="003E069E">
        <w:rPr>
          <w:rFonts w:asciiTheme="minorHAnsi" w:hAnsiTheme="minorHAnsi"/>
          <w:sz w:val="22"/>
          <w:szCs w:val="22"/>
        </w:rPr>
        <w:t>premium credit</w:t>
      </w:r>
      <w:r w:rsidR="00B44732">
        <w:rPr>
          <w:rFonts w:asciiTheme="minorHAnsi" w:hAnsiTheme="minorHAnsi"/>
          <w:sz w:val="22"/>
          <w:szCs w:val="22"/>
        </w:rPr>
        <w:t>/refund</w:t>
      </w:r>
      <w:r w:rsidR="003E069E">
        <w:rPr>
          <w:rFonts w:asciiTheme="minorHAnsi" w:hAnsiTheme="minorHAnsi"/>
          <w:sz w:val="22"/>
          <w:szCs w:val="22"/>
        </w:rPr>
        <w:t xml:space="preserve"> </w:t>
      </w:r>
      <w:r w:rsidR="00914A95">
        <w:rPr>
          <w:rFonts w:asciiTheme="minorHAnsi" w:hAnsiTheme="minorHAnsi"/>
          <w:sz w:val="22"/>
          <w:szCs w:val="22"/>
        </w:rPr>
        <w:t xml:space="preserve">for this cohort </w:t>
      </w:r>
      <w:r w:rsidR="00D34F7F">
        <w:rPr>
          <w:rFonts w:asciiTheme="minorHAnsi" w:hAnsiTheme="minorHAnsi"/>
          <w:sz w:val="22"/>
          <w:szCs w:val="22"/>
        </w:rPr>
        <w:t xml:space="preserve">is </w:t>
      </w:r>
      <w:r w:rsidR="005476B7">
        <w:rPr>
          <w:rFonts w:asciiTheme="minorHAnsi" w:hAnsiTheme="minorHAnsi"/>
          <w:sz w:val="22"/>
          <w:szCs w:val="22"/>
        </w:rPr>
        <w:t>$167,124</w:t>
      </w:r>
      <w:r w:rsidR="00D34F7F">
        <w:rPr>
          <w:rFonts w:asciiTheme="minorHAnsi" w:hAnsiTheme="minorHAnsi"/>
          <w:sz w:val="22"/>
          <w:szCs w:val="22"/>
        </w:rPr>
        <w:t xml:space="preserve">. </w:t>
      </w:r>
      <w:r w:rsidR="003B04FF">
        <w:rPr>
          <w:rFonts w:asciiTheme="minorHAnsi" w:hAnsiTheme="minorHAnsi"/>
          <w:sz w:val="22"/>
          <w:szCs w:val="22"/>
        </w:rPr>
        <w:t xml:space="preserve"> </w:t>
      </w:r>
    </w:p>
    <w:p w14:paraId="5AF96AFB" w14:textId="77777777" w:rsidR="00FC1FA1" w:rsidRDefault="00FC1FA1" w:rsidP="00952AE1">
      <w:p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</w:p>
    <w:p w14:paraId="7035138E" w14:textId="77777777" w:rsidR="00C635C0" w:rsidRDefault="00C635C0" w:rsidP="00952AE1">
      <w:pPr>
        <w:spacing w:before="8" w:line="260" w:lineRule="exact"/>
        <w:jc w:val="both"/>
        <w:rPr>
          <w:rFonts w:asciiTheme="minorHAnsi" w:hAnsiTheme="minorHAnsi"/>
          <w:b/>
          <w:bCs/>
          <w:sz w:val="22"/>
          <w:szCs w:val="22"/>
        </w:rPr>
      </w:pPr>
      <w:r w:rsidRPr="00C635C0">
        <w:rPr>
          <w:rFonts w:asciiTheme="minorHAnsi" w:hAnsiTheme="minorHAnsi"/>
          <w:b/>
          <w:bCs/>
          <w:sz w:val="22"/>
          <w:szCs w:val="22"/>
        </w:rPr>
        <w:t>Travel Agents E&amp;O</w:t>
      </w:r>
    </w:p>
    <w:p w14:paraId="7C42837B" w14:textId="431BE40A" w:rsidR="00EB2300" w:rsidRDefault="00EB2300" w:rsidP="00952AE1">
      <w:p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</w:p>
    <w:p w14:paraId="5BEABC52" w14:textId="5D198DDE" w:rsidR="000D0927" w:rsidRDefault="00A77CA7" w:rsidP="000D0927">
      <w:p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  <w:r w:rsidRPr="00A77CA7">
        <w:rPr>
          <w:rFonts w:asciiTheme="minorHAnsi" w:hAnsiTheme="minorHAnsi"/>
          <w:sz w:val="22"/>
          <w:szCs w:val="22"/>
        </w:rPr>
        <w:t>BHSIC’s Travel Agents E&amp;O product</w:t>
      </w:r>
      <w:r w:rsidR="00550228">
        <w:rPr>
          <w:rFonts w:asciiTheme="minorHAnsi" w:hAnsiTheme="minorHAnsi"/>
          <w:sz w:val="22"/>
          <w:szCs w:val="22"/>
        </w:rPr>
        <w:t xml:space="preserve"> </w:t>
      </w:r>
      <w:r w:rsidRPr="00A77CA7">
        <w:rPr>
          <w:rFonts w:asciiTheme="minorHAnsi" w:hAnsiTheme="minorHAnsi"/>
          <w:sz w:val="22"/>
          <w:szCs w:val="22"/>
        </w:rPr>
        <w:t>provides errors</w:t>
      </w:r>
      <w:r w:rsidR="005B15D3">
        <w:rPr>
          <w:rFonts w:asciiTheme="minorHAnsi" w:hAnsiTheme="minorHAnsi"/>
          <w:sz w:val="22"/>
          <w:szCs w:val="22"/>
        </w:rPr>
        <w:t xml:space="preserve"> </w:t>
      </w:r>
      <w:r w:rsidRPr="00A77CA7">
        <w:rPr>
          <w:rFonts w:asciiTheme="minorHAnsi" w:hAnsiTheme="minorHAnsi"/>
          <w:sz w:val="22"/>
          <w:szCs w:val="22"/>
        </w:rPr>
        <w:t>and</w:t>
      </w:r>
      <w:r w:rsidR="005B15D3">
        <w:rPr>
          <w:rFonts w:asciiTheme="minorHAnsi" w:hAnsiTheme="minorHAnsi"/>
          <w:sz w:val="22"/>
          <w:szCs w:val="22"/>
        </w:rPr>
        <w:t xml:space="preserve"> </w:t>
      </w:r>
      <w:r w:rsidRPr="00A77CA7">
        <w:rPr>
          <w:rFonts w:asciiTheme="minorHAnsi" w:hAnsiTheme="minorHAnsi"/>
          <w:sz w:val="22"/>
          <w:szCs w:val="22"/>
        </w:rPr>
        <w:t>omissions insurance for travel agencies and businesses.</w:t>
      </w:r>
      <w:r>
        <w:rPr>
          <w:rFonts w:asciiTheme="minorHAnsi" w:hAnsiTheme="minorHAnsi"/>
          <w:sz w:val="22"/>
          <w:szCs w:val="22"/>
        </w:rPr>
        <w:t xml:space="preserve"> Given the</w:t>
      </w:r>
      <w:r w:rsidR="00B44732">
        <w:rPr>
          <w:rFonts w:asciiTheme="minorHAnsi" w:hAnsiTheme="minorHAnsi"/>
          <w:sz w:val="22"/>
          <w:szCs w:val="22"/>
        </w:rPr>
        <w:t xml:space="preserve"> pandemic’s</w:t>
      </w:r>
      <w:r>
        <w:rPr>
          <w:rFonts w:asciiTheme="minorHAnsi" w:hAnsiTheme="minorHAnsi"/>
          <w:sz w:val="22"/>
          <w:szCs w:val="22"/>
        </w:rPr>
        <w:t xml:space="preserve"> </w:t>
      </w:r>
      <w:r w:rsidR="00ED0442">
        <w:rPr>
          <w:rFonts w:asciiTheme="minorHAnsi" w:hAnsiTheme="minorHAnsi"/>
          <w:sz w:val="22"/>
          <w:szCs w:val="22"/>
        </w:rPr>
        <w:t>significant</w:t>
      </w:r>
      <w:r w:rsidR="00B44732">
        <w:rPr>
          <w:rFonts w:asciiTheme="minorHAnsi" w:hAnsiTheme="minorHAnsi"/>
          <w:sz w:val="22"/>
          <w:szCs w:val="22"/>
        </w:rPr>
        <w:t xml:space="preserve"> </w:t>
      </w:r>
      <w:r w:rsidR="00C635C0">
        <w:rPr>
          <w:rFonts w:asciiTheme="minorHAnsi" w:hAnsiTheme="minorHAnsi"/>
          <w:sz w:val="22"/>
          <w:szCs w:val="22"/>
        </w:rPr>
        <w:t xml:space="preserve">impact </w:t>
      </w:r>
      <w:r w:rsidR="00EB2300">
        <w:rPr>
          <w:rFonts w:asciiTheme="minorHAnsi" w:hAnsiTheme="minorHAnsi"/>
          <w:sz w:val="22"/>
          <w:szCs w:val="22"/>
        </w:rPr>
        <w:t>on the</w:t>
      </w:r>
      <w:r w:rsidR="00C635C0">
        <w:rPr>
          <w:rFonts w:asciiTheme="minorHAnsi" w:hAnsiTheme="minorHAnsi"/>
          <w:sz w:val="22"/>
          <w:szCs w:val="22"/>
        </w:rPr>
        <w:t xml:space="preserve"> </w:t>
      </w:r>
      <w:r w:rsidR="005B15D3">
        <w:rPr>
          <w:rFonts w:asciiTheme="minorHAnsi" w:hAnsiTheme="minorHAnsi"/>
          <w:sz w:val="22"/>
          <w:szCs w:val="22"/>
        </w:rPr>
        <w:t>t</w:t>
      </w:r>
      <w:r w:rsidR="00C635C0">
        <w:rPr>
          <w:rFonts w:asciiTheme="minorHAnsi" w:hAnsiTheme="minorHAnsi"/>
          <w:sz w:val="22"/>
          <w:szCs w:val="22"/>
        </w:rPr>
        <w:t>ravel</w:t>
      </w:r>
      <w:r w:rsidR="004E2DB8">
        <w:rPr>
          <w:rFonts w:asciiTheme="minorHAnsi" w:hAnsiTheme="minorHAnsi"/>
          <w:sz w:val="22"/>
          <w:szCs w:val="22"/>
        </w:rPr>
        <w:t xml:space="preserve"> and </w:t>
      </w:r>
      <w:r w:rsidR="005B15D3">
        <w:rPr>
          <w:rFonts w:asciiTheme="minorHAnsi" w:hAnsiTheme="minorHAnsi"/>
          <w:sz w:val="22"/>
          <w:szCs w:val="22"/>
        </w:rPr>
        <w:t>t</w:t>
      </w:r>
      <w:r w:rsidR="004E2DB8">
        <w:rPr>
          <w:rFonts w:asciiTheme="minorHAnsi" w:hAnsiTheme="minorHAnsi"/>
          <w:sz w:val="22"/>
          <w:szCs w:val="22"/>
        </w:rPr>
        <w:t>ourism</w:t>
      </w:r>
      <w:r w:rsidR="00C635C0">
        <w:rPr>
          <w:rFonts w:asciiTheme="minorHAnsi" w:hAnsiTheme="minorHAnsi"/>
          <w:sz w:val="22"/>
          <w:szCs w:val="22"/>
        </w:rPr>
        <w:t xml:space="preserve"> industry, </w:t>
      </w:r>
      <w:r w:rsidR="00EB2300">
        <w:rPr>
          <w:rFonts w:asciiTheme="minorHAnsi" w:hAnsiTheme="minorHAnsi"/>
          <w:sz w:val="22"/>
          <w:szCs w:val="22"/>
        </w:rPr>
        <w:t xml:space="preserve">BHSIC has </w:t>
      </w:r>
      <w:r w:rsidR="000D0927">
        <w:rPr>
          <w:rFonts w:asciiTheme="minorHAnsi" w:hAnsiTheme="minorHAnsi"/>
          <w:sz w:val="22"/>
          <w:szCs w:val="22"/>
        </w:rPr>
        <w:t xml:space="preserve">decided that each inforce Travel Agents E&amp;O policyholder will receive a one-time premium credit equal to 15% of the policy’s </w:t>
      </w:r>
      <w:r w:rsidR="000D0927">
        <w:rPr>
          <w:rFonts w:asciiTheme="minorHAnsi" w:hAnsiTheme="minorHAnsi"/>
          <w:sz w:val="22"/>
          <w:szCs w:val="22"/>
          <w:u w:val="single"/>
        </w:rPr>
        <w:t>total</w:t>
      </w:r>
      <w:r w:rsidR="000D0927">
        <w:rPr>
          <w:rFonts w:asciiTheme="minorHAnsi" w:hAnsiTheme="minorHAnsi"/>
          <w:sz w:val="22"/>
          <w:szCs w:val="22"/>
        </w:rPr>
        <w:t xml:space="preserve"> annual </w:t>
      </w:r>
      <w:r w:rsidR="007A074F">
        <w:rPr>
          <w:rFonts w:asciiTheme="minorHAnsi" w:hAnsiTheme="minorHAnsi"/>
          <w:sz w:val="22"/>
          <w:szCs w:val="22"/>
        </w:rPr>
        <w:t>w</w:t>
      </w:r>
      <w:r w:rsidR="000D0927">
        <w:rPr>
          <w:rFonts w:asciiTheme="minorHAnsi" w:hAnsiTheme="minorHAnsi"/>
          <w:sz w:val="22"/>
          <w:szCs w:val="22"/>
        </w:rPr>
        <w:t xml:space="preserve">ritten </w:t>
      </w:r>
      <w:r w:rsidR="007A074F">
        <w:rPr>
          <w:rFonts w:asciiTheme="minorHAnsi" w:hAnsiTheme="minorHAnsi"/>
          <w:sz w:val="22"/>
          <w:szCs w:val="22"/>
        </w:rPr>
        <w:t>p</w:t>
      </w:r>
      <w:r w:rsidR="000D0927">
        <w:rPr>
          <w:rFonts w:asciiTheme="minorHAnsi" w:hAnsiTheme="minorHAnsi"/>
          <w:sz w:val="22"/>
          <w:szCs w:val="22"/>
        </w:rPr>
        <w:t>remium.</w:t>
      </w:r>
    </w:p>
    <w:p w14:paraId="49EE3EF2" w14:textId="53F195BE" w:rsidR="00EB2300" w:rsidRDefault="00EB2300" w:rsidP="00952AE1">
      <w:p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</w:p>
    <w:p w14:paraId="760A6CF7" w14:textId="013610AA" w:rsidR="00EB2300" w:rsidRDefault="00EB2300" w:rsidP="00952AE1">
      <w:pPr>
        <w:spacing w:before="8" w:line="260" w:lineRule="exact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 of 4/1/2020, there were</w:t>
      </w:r>
      <w:r w:rsidR="00B44732">
        <w:rPr>
          <w:rFonts w:asciiTheme="minorHAnsi" w:hAnsiTheme="minorHAnsi"/>
          <w:sz w:val="22"/>
          <w:szCs w:val="22"/>
        </w:rPr>
        <w:t xml:space="preserve"> </w:t>
      </w:r>
      <w:r w:rsidR="005B15D3">
        <w:rPr>
          <w:rFonts w:asciiTheme="minorHAnsi" w:hAnsiTheme="minorHAnsi"/>
          <w:sz w:val="22"/>
          <w:szCs w:val="22"/>
        </w:rPr>
        <w:t>520</w:t>
      </w:r>
      <w:r>
        <w:rPr>
          <w:rFonts w:asciiTheme="minorHAnsi" w:hAnsiTheme="minorHAnsi"/>
          <w:sz w:val="22"/>
          <w:szCs w:val="22"/>
        </w:rPr>
        <w:t xml:space="preserve"> (WP: </w:t>
      </w:r>
      <w:r w:rsidR="00B44732">
        <w:rPr>
          <w:rFonts w:asciiTheme="minorHAnsi" w:hAnsiTheme="minorHAnsi"/>
          <w:sz w:val="22"/>
          <w:szCs w:val="22"/>
        </w:rPr>
        <w:t>$</w:t>
      </w:r>
      <w:r w:rsidR="001F5F23">
        <w:rPr>
          <w:rFonts w:asciiTheme="minorHAnsi" w:hAnsiTheme="minorHAnsi"/>
          <w:sz w:val="22"/>
          <w:szCs w:val="22"/>
        </w:rPr>
        <w:t>563,976</w:t>
      </w:r>
      <w:r>
        <w:rPr>
          <w:rFonts w:asciiTheme="minorHAnsi" w:hAnsiTheme="minorHAnsi"/>
          <w:sz w:val="22"/>
          <w:szCs w:val="22"/>
        </w:rPr>
        <w:t xml:space="preserve">) inforce Travel Agents E&amp;O </w:t>
      </w:r>
      <w:r w:rsidR="00B44732">
        <w:rPr>
          <w:rFonts w:asciiTheme="minorHAnsi" w:hAnsiTheme="minorHAnsi"/>
          <w:sz w:val="22"/>
          <w:szCs w:val="22"/>
        </w:rPr>
        <w:t xml:space="preserve">California </w:t>
      </w:r>
      <w:r>
        <w:rPr>
          <w:rFonts w:asciiTheme="minorHAnsi" w:hAnsiTheme="minorHAnsi"/>
          <w:sz w:val="22"/>
          <w:szCs w:val="22"/>
        </w:rPr>
        <w:t>polic</w:t>
      </w:r>
      <w:r w:rsidR="00B44732">
        <w:rPr>
          <w:rFonts w:asciiTheme="minorHAnsi" w:hAnsiTheme="minorHAnsi"/>
          <w:sz w:val="22"/>
          <w:szCs w:val="22"/>
        </w:rPr>
        <w:t>ies</w:t>
      </w:r>
      <w:r>
        <w:rPr>
          <w:rFonts w:asciiTheme="minorHAnsi" w:hAnsiTheme="minorHAnsi"/>
          <w:sz w:val="22"/>
          <w:szCs w:val="22"/>
        </w:rPr>
        <w:t xml:space="preserve">. Using the aforementioned logic, </w:t>
      </w:r>
      <w:r w:rsidR="001F5F23">
        <w:rPr>
          <w:rFonts w:asciiTheme="minorHAnsi" w:hAnsiTheme="minorHAnsi"/>
          <w:sz w:val="22"/>
          <w:szCs w:val="22"/>
        </w:rPr>
        <w:t xml:space="preserve">520 </w:t>
      </w:r>
      <w:r>
        <w:rPr>
          <w:rFonts w:asciiTheme="minorHAnsi" w:hAnsiTheme="minorHAnsi"/>
          <w:sz w:val="22"/>
          <w:szCs w:val="22"/>
        </w:rPr>
        <w:t>of these policyholders will be receiving a premium credit/refund. The total calculated premium credit/refund for this cohort is $</w:t>
      </w:r>
      <w:r w:rsidR="001F5F23">
        <w:rPr>
          <w:rFonts w:asciiTheme="minorHAnsi" w:hAnsiTheme="minorHAnsi"/>
          <w:sz w:val="22"/>
          <w:szCs w:val="22"/>
        </w:rPr>
        <w:t>84,596.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DF5D445" w14:textId="77777777" w:rsidR="00C635C0" w:rsidRDefault="00C635C0" w:rsidP="00952AE1">
      <w:pPr>
        <w:spacing w:before="8" w:line="260" w:lineRule="exac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3300B39" w14:textId="77777777" w:rsidR="00C635C0" w:rsidRDefault="00C635C0" w:rsidP="00952AE1">
      <w:p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Professional Protection – Healthcare</w:t>
      </w:r>
    </w:p>
    <w:p w14:paraId="564FEBD3" w14:textId="1EBB02AB" w:rsidR="00C635C0" w:rsidRDefault="00C635C0" w:rsidP="00952AE1">
      <w:p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</w:p>
    <w:p w14:paraId="07620CB4" w14:textId="11144FE8" w:rsidR="00EB2300" w:rsidRDefault="00EB2300" w:rsidP="00952AE1">
      <w:p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BHSIC’s Professional Protection – Healthcare product </w:t>
      </w:r>
      <w:r w:rsidRPr="00EB2300">
        <w:rPr>
          <w:rFonts w:asciiTheme="minorHAnsi" w:hAnsiTheme="minorHAnsi"/>
          <w:sz w:val="22"/>
          <w:szCs w:val="22"/>
        </w:rPr>
        <w:t>offers medical malpractice insurance for allied health and advanced practice medical professionals, as well as students.</w:t>
      </w:r>
      <w:r>
        <w:rPr>
          <w:rFonts w:asciiTheme="minorHAnsi" w:hAnsiTheme="minorHAnsi"/>
          <w:sz w:val="22"/>
          <w:szCs w:val="22"/>
        </w:rPr>
        <w:t xml:space="preserve"> </w:t>
      </w:r>
      <w:r w:rsidR="00B44732">
        <w:rPr>
          <w:rFonts w:asciiTheme="minorHAnsi" w:hAnsiTheme="minorHAnsi"/>
          <w:sz w:val="22"/>
          <w:szCs w:val="22"/>
        </w:rPr>
        <w:t>Since</w:t>
      </w:r>
      <w:r w:rsidRPr="00EB2300">
        <w:rPr>
          <w:rFonts w:asciiTheme="minorHAnsi" w:hAnsiTheme="minorHAnsi"/>
          <w:sz w:val="22"/>
          <w:szCs w:val="22"/>
        </w:rPr>
        <w:t xml:space="preserve"> many of these insureds are considered “essential”, and therefore continue to </w:t>
      </w:r>
      <w:r w:rsidR="00B44732" w:rsidRPr="00EB2300">
        <w:rPr>
          <w:rFonts w:asciiTheme="minorHAnsi" w:hAnsiTheme="minorHAnsi"/>
          <w:sz w:val="22"/>
          <w:szCs w:val="22"/>
        </w:rPr>
        <w:t>work</w:t>
      </w:r>
      <w:r w:rsidRPr="00EB2300">
        <w:rPr>
          <w:rFonts w:asciiTheme="minorHAnsi" w:hAnsiTheme="minorHAnsi"/>
          <w:sz w:val="22"/>
          <w:szCs w:val="22"/>
        </w:rPr>
        <w:t xml:space="preserve"> during state mandated shutdowns, a blanket approach to premium relief would not be appropriate.</w:t>
      </w:r>
    </w:p>
    <w:p w14:paraId="0C7FE298" w14:textId="77777777" w:rsidR="00C635C0" w:rsidRDefault="00C635C0" w:rsidP="00952AE1">
      <w:p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</w:p>
    <w:p w14:paraId="7C9CA7CA" w14:textId="408D873D" w:rsidR="00EB2300" w:rsidRDefault="00EB2300" w:rsidP="00952AE1">
      <w:p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Instead, </w:t>
      </w:r>
      <w:r w:rsidR="00B44732">
        <w:rPr>
          <w:rFonts w:asciiTheme="minorHAnsi" w:hAnsiTheme="minorHAnsi"/>
          <w:sz w:val="22"/>
          <w:szCs w:val="22"/>
        </w:rPr>
        <w:t>BHSIC’s</w:t>
      </w:r>
      <w:r>
        <w:rPr>
          <w:rFonts w:asciiTheme="minorHAnsi" w:hAnsiTheme="minorHAnsi"/>
          <w:sz w:val="22"/>
          <w:szCs w:val="22"/>
        </w:rPr>
        <w:t xml:space="preserve"> underwriting team examined </w:t>
      </w:r>
      <w:r w:rsidR="00B44732">
        <w:rPr>
          <w:rFonts w:asciiTheme="minorHAnsi" w:hAnsiTheme="minorHAnsi"/>
          <w:sz w:val="22"/>
          <w:szCs w:val="22"/>
        </w:rPr>
        <w:t>the entire</w:t>
      </w:r>
      <w:r>
        <w:rPr>
          <w:rFonts w:asciiTheme="minorHAnsi" w:hAnsiTheme="minorHAnsi"/>
          <w:sz w:val="22"/>
          <w:szCs w:val="22"/>
        </w:rPr>
        <w:t xml:space="preserve"> book of business in detail and has determined the following actions would best match premium relief with exposure reduction: </w:t>
      </w:r>
    </w:p>
    <w:p w14:paraId="20DDEFD7" w14:textId="77777777" w:rsidR="00EB2300" w:rsidRDefault="00EB2300" w:rsidP="00952AE1">
      <w:p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</w:p>
    <w:p w14:paraId="7D46BD87" w14:textId="148D4D10" w:rsidR="00EB2300" w:rsidRDefault="00F63555" w:rsidP="00952AE1">
      <w:pPr>
        <w:pStyle w:val="ListParagraph"/>
        <w:numPr>
          <w:ilvl w:val="0"/>
          <w:numId w:val="8"/>
        </w:num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insureds</w:t>
      </w:r>
      <w:r w:rsidR="00E62186">
        <w:rPr>
          <w:rFonts w:asciiTheme="minorHAnsi" w:hAnsiTheme="minorHAnsi"/>
          <w:sz w:val="22"/>
          <w:szCs w:val="22"/>
        </w:rPr>
        <w:t xml:space="preserve">, except those listed below, will receive </w:t>
      </w:r>
      <w:r w:rsidR="00EB2300">
        <w:rPr>
          <w:rFonts w:asciiTheme="minorHAnsi" w:hAnsiTheme="minorHAnsi"/>
          <w:sz w:val="22"/>
          <w:szCs w:val="22"/>
        </w:rPr>
        <w:t xml:space="preserve">a one-time premium credit </w:t>
      </w:r>
      <w:r w:rsidR="00EB2300" w:rsidRPr="004D2388">
        <w:rPr>
          <w:rFonts w:asciiTheme="minorHAnsi" w:hAnsiTheme="minorHAnsi"/>
          <w:sz w:val="22"/>
          <w:szCs w:val="22"/>
        </w:rPr>
        <w:t>equal to 15% of the</w:t>
      </w:r>
      <w:r w:rsidR="000D0927">
        <w:rPr>
          <w:rFonts w:asciiTheme="minorHAnsi" w:hAnsiTheme="minorHAnsi"/>
          <w:sz w:val="22"/>
          <w:szCs w:val="22"/>
        </w:rPr>
        <w:t xml:space="preserve"> policy’s</w:t>
      </w:r>
      <w:r w:rsidR="00EB2300" w:rsidRPr="004D2388">
        <w:rPr>
          <w:rFonts w:asciiTheme="minorHAnsi" w:hAnsiTheme="minorHAnsi"/>
          <w:sz w:val="22"/>
          <w:szCs w:val="22"/>
        </w:rPr>
        <w:t xml:space="preserve"> </w:t>
      </w:r>
      <w:r w:rsidR="00EB2300" w:rsidRPr="004D2388">
        <w:rPr>
          <w:rFonts w:asciiTheme="minorHAnsi" w:hAnsiTheme="minorHAnsi"/>
          <w:sz w:val="22"/>
          <w:szCs w:val="22"/>
          <w:u w:val="single"/>
        </w:rPr>
        <w:t>total</w:t>
      </w:r>
      <w:r w:rsidR="00EB2300" w:rsidRPr="004D2388">
        <w:rPr>
          <w:rFonts w:asciiTheme="minorHAnsi" w:hAnsiTheme="minorHAnsi"/>
          <w:sz w:val="22"/>
          <w:szCs w:val="22"/>
        </w:rPr>
        <w:t xml:space="preserve"> annual </w:t>
      </w:r>
      <w:r w:rsidR="007A074F">
        <w:rPr>
          <w:rFonts w:asciiTheme="minorHAnsi" w:hAnsiTheme="minorHAnsi"/>
          <w:sz w:val="22"/>
          <w:szCs w:val="22"/>
        </w:rPr>
        <w:t>w</w:t>
      </w:r>
      <w:r w:rsidR="00EB2300" w:rsidRPr="004D2388">
        <w:rPr>
          <w:rFonts w:asciiTheme="minorHAnsi" w:hAnsiTheme="minorHAnsi"/>
          <w:sz w:val="22"/>
          <w:szCs w:val="22"/>
        </w:rPr>
        <w:t xml:space="preserve">ritten </w:t>
      </w:r>
      <w:r w:rsidR="007A074F">
        <w:rPr>
          <w:rFonts w:asciiTheme="minorHAnsi" w:hAnsiTheme="minorHAnsi"/>
          <w:sz w:val="22"/>
          <w:szCs w:val="22"/>
        </w:rPr>
        <w:t>p</w:t>
      </w:r>
      <w:r w:rsidR="00EB2300" w:rsidRPr="004D2388">
        <w:rPr>
          <w:rFonts w:asciiTheme="minorHAnsi" w:hAnsiTheme="minorHAnsi"/>
          <w:sz w:val="22"/>
          <w:szCs w:val="22"/>
        </w:rPr>
        <w:t>remium</w:t>
      </w:r>
      <w:r w:rsidR="00550228">
        <w:rPr>
          <w:rFonts w:asciiTheme="minorHAnsi" w:hAnsiTheme="minorHAnsi"/>
          <w:sz w:val="22"/>
          <w:szCs w:val="22"/>
        </w:rPr>
        <w:t>.</w:t>
      </w:r>
    </w:p>
    <w:p w14:paraId="78276FEC" w14:textId="77777777" w:rsidR="00550228" w:rsidRDefault="00550228" w:rsidP="00DF3671">
      <w:pPr>
        <w:pStyle w:val="ListParagraph"/>
        <w:numPr>
          <w:ilvl w:val="1"/>
          <w:numId w:val="8"/>
        </w:num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  <w:r w:rsidRPr="00550228">
        <w:rPr>
          <w:rFonts w:asciiTheme="minorHAnsi" w:hAnsiTheme="minorHAnsi"/>
          <w:sz w:val="22"/>
          <w:szCs w:val="22"/>
        </w:rPr>
        <w:t xml:space="preserve">Excluded “essential” professionals/specialties: CNS, Nuclear Medicine, Anesthesiology, Nurse Practitioners, Nursing (RN, LPN/LVN), Other Healthcare Professionals, Physician Assistants, Technicians, Psych and Social Work, </w:t>
      </w:r>
    </w:p>
    <w:p w14:paraId="0BD2233A" w14:textId="10E34611" w:rsidR="00550228" w:rsidRPr="00550228" w:rsidRDefault="00550228" w:rsidP="00DF3671">
      <w:pPr>
        <w:pStyle w:val="ListParagraph"/>
        <w:numPr>
          <w:ilvl w:val="1"/>
          <w:numId w:val="8"/>
        </w:num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Excluded group types: </w:t>
      </w:r>
      <w:r w:rsidRPr="00550228">
        <w:rPr>
          <w:rFonts w:asciiTheme="minorHAnsi" w:hAnsiTheme="minorHAnsi"/>
          <w:sz w:val="22"/>
          <w:szCs w:val="22"/>
        </w:rPr>
        <w:t>Clinic/Medical Office, Mental Health Clinic, Healthcare Staffing, Occupational Health Service Clinic, Other</w:t>
      </w:r>
    </w:p>
    <w:p w14:paraId="1DE1ED9D" w14:textId="20B1AA91" w:rsidR="00EB2300" w:rsidRPr="004D2388" w:rsidRDefault="00ED0442" w:rsidP="00952AE1">
      <w:pPr>
        <w:pStyle w:val="ListParagraph"/>
        <w:numPr>
          <w:ilvl w:val="0"/>
          <w:numId w:val="8"/>
        </w:num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</w:t>
      </w:r>
      <w:r w:rsidR="00EB230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students, regardless of profession</w:t>
      </w:r>
      <w:r w:rsidR="00550228">
        <w:rPr>
          <w:rFonts w:asciiTheme="minorHAnsi" w:hAnsiTheme="minorHAnsi"/>
          <w:sz w:val="22"/>
          <w:szCs w:val="22"/>
        </w:rPr>
        <w:t>/specialty</w:t>
      </w:r>
      <w:r>
        <w:rPr>
          <w:rFonts w:asciiTheme="minorHAnsi" w:hAnsiTheme="minorHAnsi"/>
          <w:sz w:val="22"/>
          <w:szCs w:val="22"/>
        </w:rPr>
        <w:t xml:space="preserve">, </w:t>
      </w:r>
      <w:r w:rsidR="00EB2300">
        <w:rPr>
          <w:rFonts w:asciiTheme="minorHAnsi" w:hAnsiTheme="minorHAnsi"/>
          <w:sz w:val="22"/>
          <w:szCs w:val="22"/>
        </w:rPr>
        <w:t xml:space="preserve">will receive a one-time </w:t>
      </w:r>
      <w:r w:rsidR="00EB2300" w:rsidRPr="006B10CC">
        <w:rPr>
          <w:rFonts w:asciiTheme="minorHAnsi" w:hAnsiTheme="minorHAnsi"/>
          <w:sz w:val="22"/>
          <w:szCs w:val="22"/>
        </w:rPr>
        <w:t>premium credit equal to 15% of the</w:t>
      </w:r>
      <w:r w:rsidR="000D0927">
        <w:rPr>
          <w:rFonts w:asciiTheme="minorHAnsi" w:hAnsiTheme="minorHAnsi"/>
          <w:sz w:val="22"/>
          <w:szCs w:val="22"/>
        </w:rPr>
        <w:t xml:space="preserve"> policy’s</w:t>
      </w:r>
      <w:r w:rsidR="00EB2300" w:rsidRPr="006B10CC">
        <w:rPr>
          <w:rFonts w:asciiTheme="minorHAnsi" w:hAnsiTheme="minorHAnsi"/>
          <w:sz w:val="22"/>
          <w:szCs w:val="22"/>
        </w:rPr>
        <w:t xml:space="preserve"> </w:t>
      </w:r>
      <w:r w:rsidR="00EB2300" w:rsidRPr="003B04FF">
        <w:rPr>
          <w:rFonts w:asciiTheme="minorHAnsi" w:hAnsiTheme="minorHAnsi"/>
          <w:sz w:val="22"/>
          <w:szCs w:val="22"/>
          <w:u w:val="single"/>
        </w:rPr>
        <w:t>total</w:t>
      </w:r>
      <w:r w:rsidR="00EB2300" w:rsidRPr="006B10CC">
        <w:rPr>
          <w:rFonts w:asciiTheme="minorHAnsi" w:hAnsiTheme="minorHAnsi"/>
          <w:sz w:val="22"/>
          <w:szCs w:val="22"/>
        </w:rPr>
        <w:t xml:space="preserve"> annual </w:t>
      </w:r>
      <w:r w:rsidR="007A074F">
        <w:rPr>
          <w:rFonts w:asciiTheme="minorHAnsi" w:hAnsiTheme="minorHAnsi"/>
          <w:sz w:val="22"/>
          <w:szCs w:val="22"/>
        </w:rPr>
        <w:t>w</w:t>
      </w:r>
      <w:r w:rsidR="00EB2300" w:rsidRPr="006B10CC">
        <w:rPr>
          <w:rFonts w:asciiTheme="minorHAnsi" w:hAnsiTheme="minorHAnsi"/>
          <w:sz w:val="22"/>
          <w:szCs w:val="22"/>
        </w:rPr>
        <w:t xml:space="preserve">ritten </w:t>
      </w:r>
      <w:r w:rsidR="007A074F">
        <w:rPr>
          <w:rFonts w:asciiTheme="minorHAnsi" w:hAnsiTheme="minorHAnsi"/>
          <w:sz w:val="22"/>
          <w:szCs w:val="22"/>
        </w:rPr>
        <w:t>p</w:t>
      </w:r>
      <w:r w:rsidR="00EB2300" w:rsidRPr="006B10CC">
        <w:rPr>
          <w:rFonts w:asciiTheme="minorHAnsi" w:hAnsiTheme="minorHAnsi"/>
          <w:sz w:val="22"/>
          <w:szCs w:val="22"/>
        </w:rPr>
        <w:t xml:space="preserve">remium.  </w:t>
      </w:r>
    </w:p>
    <w:p w14:paraId="7F656664" w14:textId="77777777" w:rsidR="00EB2300" w:rsidRDefault="00EB2300" w:rsidP="00952AE1">
      <w:p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</w:p>
    <w:p w14:paraId="7015F9AB" w14:textId="0396F783" w:rsidR="00EB2300" w:rsidRDefault="00EB2300" w:rsidP="00952AE1">
      <w:p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 of 4/1/2020, there were </w:t>
      </w:r>
      <w:r w:rsidR="00C80D09">
        <w:rPr>
          <w:rFonts w:asciiTheme="minorHAnsi" w:hAnsiTheme="minorHAnsi"/>
          <w:sz w:val="22"/>
          <w:szCs w:val="22"/>
        </w:rPr>
        <w:t>334</w:t>
      </w:r>
      <w:r>
        <w:rPr>
          <w:rFonts w:asciiTheme="minorHAnsi" w:hAnsiTheme="minorHAnsi"/>
          <w:sz w:val="22"/>
          <w:szCs w:val="22"/>
        </w:rPr>
        <w:t xml:space="preserve"> (WP: $</w:t>
      </w:r>
      <w:r w:rsidR="00C80D09">
        <w:rPr>
          <w:rFonts w:asciiTheme="minorHAnsi" w:hAnsiTheme="minorHAnsi"/>
          <w:sz w:val="22"/>
          <w:szCs w:val="22"/>
        </w:rPr>
        <w:t>170,703</w:t>
      </w:r>
      <w:r>
        <w:rPr>
          <w:rFonts w:asciiTheme="minorHAnsi" w:hAnsiTheme="minorHAnsi"/>
          <w:sz w:val="22"/>
          <w:szCs w:val="22"/>
        </w:rPr>
        <w:t xml:space="preserve">) inforce </w:t>
      </w:r>
      <w:r w:rsidR="009F427C">
        <w:rPr>
          <w:rFonts w:asciiTheme="minorHAnsi" w:hAnsiTheme="minorHAnsi"/>
          <w:sz w:val="22"/>
          <w:szCs w:val="22"/>
        </w:rPr>
        <w:t xml:space="preserve">Professional Protection </w:t>
      </w:r>
      <w:r w:rsidR="000D0927">
        <w:rPr>
          <w:rFonts w:asciiTheme="minorHAnsi" w:hAnsiTheme="minorHAnsi"/>
          <w:sz w:val="22"/>
          <w:szCs w:val="22"/>
        </w:rPr>
        <w:t>–</w:t>
      </w:r>
      <w:r w:rsidR="009F427C">
        <w:rPr>
          <w:rFonts w:asciiTheme="minorHAnsi" w:hAnsiTheme="minorHAnsi"/>
          <w:sz w:val="22"/>
          <w:szCs w:val="22"/>
        </w:rPr>
        <w:t xml:space="preserve"> Healthcare</w:t>
      </w:r>
      <w:r>
        <w:rPr>
          <w:rFonts w:asciiTheme="minorHAnsi" w:hAnsiTheme="minorHAnsi"/>
          <w:sz w:val="22"/>
          <w:szCs w:val="22"/>
        </w:rPr>
        <w:t xml:space="preserve"> </w:t>
      </w:r>
      <w:r w:rsidR="009F427C">
        <w:rPr>
          <w:rFonts w:asciiTheme="minorHAnsi" w:hAnsiTheme="minorHAnsi"/>
          <w:sz w:val="22"/>
          <w:szCs w:val="22"/>
        </w:rPr>
        <w:t xml:space="preserve">California </w:t>
      </w:r>
      <w:r>
        <w:rPr>
          <w:rFonts w:asciiTheme="minorHAnsi" w:hAnsiTheme="minorHAnsi"/>
          <w:sz w:val="22"/>
          <w:szCs w:val="22"/>
        </w:rPr>
        <w:t>policies. Using the aforementioned logic,</w:t>
      </w:r>
      <w:r w:rsidR="00C80D09">
        <w:rPr>
          <w:rFonts w:asciiTheme="minorHAnsi" w:hAnsiTheme="minorHAnsi"/>
          <w:sz w:val="22"/>
          <w:szCs w:val="22"/>
        </w:rPr>
        <w:t xml:space="preserve"> 6</w:t>
      </w:r>
      <w:r w:rsidR="00615FEE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of these policyholders will be receiving a premium credit</w:t>
      </w:r>
      <w:r w:rsidR="00117348">
        <w:rPr>
          <w:rFonts w:asciiTheme="minorHAnsi" w:hAnsiTheme="minorHAnsi"/>
          <w:sz w:val="22"/>
          <w:szCs w:val="22"/>
        </w:rPr>
        <w:t>/refund</w:t>
      </w:r>
      <w:r>
        <w:rPr>
          <w:rFonts w:asciiTheme="minorHAnsi" w:hAnsiTheme="minorHAnsi"/>
          <w:sz w:val="22"/>
          <w:szCs w:val="22"/>
        </w:rPr>
        <w:t>. The total calculated premium credit</w:t>
      </w:r>
      <w:r w:rsidR="009F427C">
        <w:rPr>
          <w:rFonts w:asciiTheme="minorHAnsi" w:hAnsiTheme="minorHAnsi"/>
          <w:sz w:val="22"/>
          <w:szCs w:val="22"/>
        </w:rPr>
        <w:t>/refund</w:t>
      </w:r>
      <w:r>
        <w:rPr>
          <w:rFonts w:asciiTheme="minorHAnsi" w:hAnsiTheme="minorHAnsi"/>
          <w:sz w:val="22"/>
          <w:szCs w:val="22"/>
        </w:rPr>
        <w:t xml:space="preserve"> for this cohort is $</w:t>
      </w:r>
      <w:r w:rsidR="00C80D09">
        <w:rPr>
          <w:rFonts w:asciiTheme="minorHAnsi" w:hAnsiTheme="minorHAnsi"/>
          <w:sz w:val="22"/>
          <w:szCs w:val="22"/>
        </w:rPr>
        <w:t>1,4</w:t>
      </w:r>
      <w:r w:rsidR="00615FEE">
        <w:rPr>
          <w:rFonts w:asciiTheme="minorHAnsi" w:hAnsiTheme="minorHAnsi"/>
          <w:sz w:val="22"/>
          <w:szCs w:val="22"/>
        </w:rPr>
        <w:t>29</w:t>
      </w:r>
      <w:r>
        <w:rPr>
          <w:rFonts w:asciiTheme="minorHAnsi" w:hAnsiTheme="minorHAnsi"/>
          <w:sz w:val="22"/>
          <w:szCs w:val="22"/>
        </w:rPr>
        <w:t xml:space="preserve">.  </w:t>
      </w:r>
    </w:p>
    <w:p w14:paraId="160CC3F2" w14:textId="77777777" w:rsidR="00C635C0" w:rsidRDefault="00C635C0" w:rsidP="00952AE1">
      <w:p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</w:p>
    <w:bookmarkEnd w:id="0"/>
    <w:p w14:paraId="2C8E8765" w14:textId="70B857B3" w:rsidR="00ED0442" w:rsidRDefault="004223CB" w:rsidP="00ED0442">
      <w:pPr>
        <w:spacing w:before="8" w:line="260" w:lineRule="exact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Professional Protection - </w:t>
      </w:r>
      <w:r w:rsidR="00ED0442" w:rsidRPr="00C635C0">
        <w:rPr>
          <w:rFonts w:asciiTheme="minorHAnsi" w:hAnsiTheme="minorHAnsi"/>
          <w:b/>
          <w:bCs/>
          <w:sz w:val="22"/>
          <w:szCs w:val="22"/>
        </w:rPr>
        <w:t>E&amp;O</w:t>
      </w:r>
    </w:p>
    <w:p w14:paraId="72ECF0E6" w14:textId="77777777" w:rsidR="00ED0442" w:rsidRDefault="00ED0442" w:rsidP="00ED0442">
      <w:p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</w:p>
    <w:p w14:paraId="4EF22D10" w14:textId="01604261" w:rsidR="00F63555" w:rsidRDefault="00ED0442" w:rsidP="00ED0442">
      <w:p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  <w:r w:rsidRPr="00A77CA7">
        <w:rPr>
          <w:rFonts w:asciiTheme="minorHAnsi" w:hAnsiTheme="minorHAnsi"/>
          <w:sz w:val="22"/>
          <w:szCs w:val="22"/>
        </w:rPr>
        <w:t>BHSIC’</w:t>
      </w:r>
      <w:r w:rsidR="0031074D">
        <w:rPr>
          <w:rFonts w:asciiTheme="minorHAnsi" w:hAnsiTheme="minorHAnsi"/>
          <w:sz w:val="22"/>
          <w:szCs w:val="22"/>
        </w:rPr>
        <w:t>s Professional Protection –  E&amp;O product</w:t>
      </w:r>
      <w:r w:rsidR="0031074D" w:rsidRPr="0031074D">
        <w:rPr>
          <w:rFonts w:asciiTheme="minorHAnsi" w:hAnsiTheme="minorHAnsi"/>
          <w:sz w:val="22"/>
          <w:szCs w:val="22"/>
        </w:rPr>
        <w:t xml:space="preserve"> offers errors and omissions insurance for professionals across a range of industries, including real estate, financial planning, consulting, and insurance</w:t>
      </w:r>
      <w:r w:rsidRPr="00A77CA7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F63555">
        <w:rPr>
          <w:rFonts w:asciiTheme="minorHAnsi" w:hAnsiTheme="minorHAnsi"/>
          <w:sz w:val="22"/>
          <w:szCs w:val="22"/>
        </w:rPr>
        <w:t xml:space="preserve">Given that many of these insureds work in sectors experiencing reduced activity </w:t>
      </w:r>
      <w:r w:rsidR="00F63555" w:rsidRPr="00F63555">
        <w:rPr>
          <w:rFonts w:asciiTheme="minorHAnsi" w:hAnsiTheme="minorHAnsi"/>
          <w:sz w:val="22"/>
          <w:szCs w:val="22"/>
        </w:rPr>
        <w:t xml:space="preserve">due to "stay-at-home" </w:t>
      </w:r>
      <w:r w:rsidR="00F63555">
        <w:rPr>
          <w:rFonts w:asciiTheme="minorHAnsi" w:hAnsiTheme="minorHAnsi"/>
          <w:sz w:val="22"/>
          <w:szCs w:val="22"/>
        </w:rPr>
        <w:t xml:space="preserve">restrictions, </w:t>
      </w:r>
      <w:r>
        <w:rPr>
          <w:rFonts w:asciiTheme="minorHAnsi" w:hAnsiTheme="minorHAnsi"/>
          <w:sz w:val="22"/>
          <w:szCs w:val="22"/>
        </w:rPr>
        <w:t xml:space="preserve">BHSIC has </w:t>
      </w:r>
      <w:r w:rsidR="00211A9A">
        <w:rPr>
          <w:rFonts w:asciiTheme="minorHAnsi" w:hAnsiTheme="minorHAnsi"/>
          <w:sz w:val="22"/>
          <w:szCs w:val="22"/>
        </w:rPr>
        <w:t xml:space="preserve">decided </w:t>
      </w:r>
      <w:r w:rsidR="00185AAB">
        <w:rPr>
          <w:rFonts w:asciiTheme="minorHAnsi" w:hAnsiTheme="minorHAnsi"/>
          <w:sz w:val="22"/>
          <w:szCs w:val="22"/>
        </w:rPr>
        <w:t xml:space="preserve">that </w:t>
      </w:r>
      <w:r w:rsidR="00E62186">
        <w:rPr>
          <w:rFonts w:asciiTheme="minorHAnsi" w:hAnsiTheme="minorHAnsi"/>
          <w:sz w:val="22"/>
          <w:szCs w:val="22"/>
        </w:rPr>
        <w:t xml:space="preserve">each inforce Professional Protection - E&amp;O policyholder </w:t>
      </w:r>
      <w:r w:rsidR="00185AAB">
        <w:rPr>
          <w:rFonts w:asciiTheme="minorHAnsi" w:hAnsiTheme="minorHAnsi"/>
          <w:sz w:val="22"/>
          <w:szCs w:val="22"/>
        </w:rPr>
        <w:t xml:space="preserve">will receive </w:t>
      </w:r>
      <w:r>
        <w:rPr>
          <w:rFonts w:asciiTheme="minorHAnsi" w:hAnsiTheme="minorHAnsi"/>
          <w:sz w:val="22"/>
          <w:szCs w:val="22"/>
        </w:rPr>
        <w:t>a</w:t>
      </w:r>
      <w:r w:rsidR="00E62186">
        <w:rPr>
          <w:rFonts w:asciiTheme="minorHAnsi" w:hAnsiTheme="minorHAnsi"/>
          <w:sz w:val="22"/>
          <w:szCs w:val="22"/>
        </w:rPr>
        <w:t xml:space="preserve"> one-time premium credit equal to </w:t>
      </w:r>
      <w:r>
        <w:rPr>
          <w:rFonts w:asciiTheme="minorHAnsi" w:hAnsiTheme="minorHAnsi"/>
          <w:sz w:val="22"/>
          <w:szCs w:val="22"/>
        </w:rPr>
        <w:t xml:space="preserve">15% </w:t>
      </w:r>
      <w:r w:rsidR="00E62186">
        <w:rPr>
          <w:rFonts w:asciiTheme="minorHAnsi" w:hAnsiTheme="minorHAnsi"/>
          <w:sz w:val="22"/>
          <w:szCs w:val="22"/>
        </w:rPr>
        <w:t>of the</w:t>
      </w:r>
      <w:r w:rsidR="000D0927">
        <w:rPr>
          <w:rFonts w:asciiTheme="minorHAnsi" w:hAnsiTheme="minorHAnsi"/>
          <w:sz w:val="22"/>
          <w:szCs w:val="22"/>
        </w:rPr>
        <w:t xml:space="preserve"> policy’s</w:t>
      </w:r>
      <w:r w:rsidR="00E6218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>total</w:t>
      </w:r>
      <w:r>
        <w:rPr>
          <w:rFonts w:asciiTheme="minorHAnsi" w:hAnsiTheme="minorHAnsi"/>
          <w:sz w:val="22"/>
          <w:szCs w:val="22"/>
        </w:rPr>
        <w:t xml:space="preserve"> annual </w:t>
      </w:r>
      <w:r w:rsidR="007A074F">
        <w:rPr>
          <w:rFonts w:asciiTheme="minorHAnsi" w:hAnsiTheme="minorHAnsi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 xml:space="preserve">ritten </w:t>
      </w:r>
      <w:r w:rsidR="00A20750">
        <w:rPr>
          <w:rFonts w:asciiTheme="minorHAnsi" w:hAnsiTheme="minorHAnsi"/>
          <w:sz w:val="22"/>
          <w:szCs w:val="22"/>
        </w:rPr>
        <w:t>p</w:t>
      </w:r>
      <w:bookmarkStart w:id="1" w:name="_GoBack"/>
      <w:bookmarkEnd w:id="1"/>
      <w:r>
        <w:rPr>
          <w:rFonts w:asciiTheme="minorHAnsi" w:hAnsiTheme="minorHAnsi"/>
          <w:sz w:val="22"/>
          <w:szCs w:val="22"/>
        </w:rPr>
        <w:t>remium</w:t>
      </w:r>
      <w:r w:rsidR="00185AAB">
        <w:rPr>
          <w:rFonts w:asciiTheme="minorHAnsi" w:hAnsiTheme="minorHAnsi"/>
          <w:sz w:val="22"/>
          <w:szCs w:val="22"/>
        </w:rPr>
        <w:t xml:space="preserve"> for the policy</w:t>
      </w:r>
      <w:r w:rsidR="00F63555">
        <w:rPr>
          <w:rFonts w:asciiTheme="minorHAnsi" w:hAnsiTheme="minorHAnsi"/>
          <w:sz w:val="22"/>
          <w:szCs w:val="22"/>
        </w:rPr>
        <w:t>.</w:t>
      </w:r>
    </w:p>
    <w:p w14:paraId="0F33FBA7" w14:textId="77777777" w:rsidR="00F63555" w:rsidRDefault="00F63555" w:rsidP="00ED0442">
      <w:p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</w:p>
    <w:p w14:paraId="73C20405" w14:textId="447409E5" w:rsidR="00ED0442" w:rsidRDefault="00ED0442" w:rsidP="00ED0442">
      <w:pPr>
        <w:spacing w:before="8" w:line="260" w:lineRule="exact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 of 4/1/2020, there were </w:t>
      </w:r>
      <w:r w:rsidR="00C80D09">
        <w:rPr>
          <w:rFonts w:asciiTheme="minorHAnsi" w:hAnsiTheme="minorHAnsi"/>
          <w:sz w:val="22"/>
          <w:szCs w:val="22"/>
        </w:rPr>
        <w:t>11</w:t>
      </w:r>
      <w:r>
        <w:rPr>
          <w:rFonts w:asciiTheme="minorHAnsi" w:hAnsiTheme="minorHAnsi"/>
          <w:sz w:val="22"/>
          <w:szCs w:val="22"/>
        </w:rPr>
        <w:t xml:space="preserve"> (WP: $</w:t>
      </w:r>
      <w:r w:rsidR="00C80D09">
        <w:rPr>
          <w:rFonts w:asciiTheme="minorHAnsi" w:hAnsiTheme="minorHAnsi"/>
          <w:sz w:val="22"/>
          <w:szCs w:val="22"/>
        </w:rPr>
        <w:t>10,005</w:t>
      </w:r>
      <w:r>
        <w:rPr>
          <w:rFonts w:asciiTheme="minorHAnsi" w:hAnsiTheme="minorHAnsi"/>
          <w:sz w:val="22"/>
          <w:szCs w:val="22"/>
        </w:rPr>
        <w:t xml:space="preserve">) inforce </w:t>
      </w:r>
      <w:r w:rsidR="00185AAB">
        <w:rPr>
          <w:rFonts w:asciiTheme="minorHAnsi" w:hAnsiTheme="minorHAnsi"/>
          <w:sz w:val="22"/>
          <w:szCs w:val="22"/>
        </w:rPr>
        <w:t xml:space="preserve">Professional Protection – </w:t>
      </w:r>
      <w:r>
        <w:rPr>
          <w:rFonts w:asciiTheme="minorHAnsi" w:hAnsiTheme="minorHAnsi"/>
          <w:sz w:val="22"/>
          <w:szCs w:val="22"/>
        </w:rPr>
        <w:t xml:space="preserve">E&amp;O California policies. Using the aforementioned logic, </w:t>
      </w:r>
      <w:r w:rsidR="00C80D09">
        <w:rPr>
          <w:rFonts w:asciiTheme="minorHAnsi" w:hAnsiTheme="minorHAnsi"/>
          <w:sz w:val="22"/>
          <w:szCs w:val="22"/>
        </w:rPr>
        <w:t>11</w:t>
      </w:r>
      <w:r>
        <w:rPr>
          <w:rFonts w:asciiTheme="minorHAnsi" w:hAnsiTheme="minorHAnsi"/>
          <w:sz w:val="22"/>
          <w:szCs w:val="22"/>
        </w:rPr>
        <w:t xml:space="preserve"> of these policyholders will be receiving a premium credit/refund. The total calculated premium credit/refund for this cohort is $</w:t>
      </w:r>
      <w:r w:rsidR="00C80D09">
        <w:rPr>
          <w:rFonts w:asciiTheme="minorHAnsi" w:hAnsiTheme="minorHAnsi"/>
          <w:sz w:val="22"/>
          <w:szCs w:val="22"/>
        </w:rPr>
        <w:t>1,501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5211B4A" w14:textId="77777777" w:rsidR="00ED0442" w:rsidRDefault="00ED0442" w:rsidP="00ED0442">
      <w:pPr>
        <w:spacing w:before="8" w:line="260" w:lineRule="exac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73DEC7E" w14:textId="4FAC721E" w:rsidR="00A71BF8" w:rsidRDefault="00A71BF8" w:rsidP="00952AE1">
      <w:pPr>
        <w:spacing w:before="8" w:line="260" w:lineRule="exact"/>
        <w:jc w:val="both"/>
        <w:rPr>
          <w:rFonts w:asciiTheme="minorHAnsi" w:hAnsiTheme="minorHAnsi"/>
          <w:sz w:val="22"/>
          <w:szCs w:val="22"/>
        </w:rPr>
      </w:pPr>
    </w:p>
    <w:sectPr w:rsidR="00A71BF8" w:rsidSect="00D61429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1E0BC" w14:textId="77777777" w:rsidR="00636576" w:rsidRDefault="00636576" w:rsidP="00C409D8">
      <w:r>
        <w:separator/>
      </w:r>
    </w:p>
  </w:endnote>
  <w:endnote w:type="continuationSeparator" w:id="0">
    <w:p w14:paraId="18A477AB" w14:textId="77777777" w:rsidR="00636576" w:rsidRDefault="00636576" w:rsidP="00C4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DEF7A" w14:textId="77777777" w:rsidR="00636576" w:rsidRDefault="00636576" w:rsidP="00C409D8">
      <w:r>
        <w:separator/>
      </w:r>
    </w:p>
  </w:footnote>
  <w:footnote w:type="continuationSeparator" w:id="0">
    <w:p w14:paraId="5E3052AB" w14:textId="77777777" w:rsidR="00636576" w:rsidRDefault="00636576" w:rsidP="00C40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2D21"/>
    <w:multiLevelType w:val="hybridMultilevel"/>
    <w:tmpl w:val="51406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D19C8"/>
    <w:multiLevelType w:val="hybridMultilevel"/>
    <w:tmpl w:val="A23AFD8A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 w15:restartNumberingAfterBreak="0">
    <w:nsid w:val="222A5D17"/>
    <w:multiLevelType w:val="hybridMultilevel"/>
    <w:tmpl w:val="29E6CF4A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 w15:restartNumberingAfterBreak="0">
    <w:nsid w:val="27215515"/>
    <w:multiLevelType w:val="hybridMultilevel"/>
    <w:tmpl w:val="C300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37C41"/>
    <w:multiLevelType w:val="hybridMultilevel"/>
    <w:tmpl w:val="B0C05F44"/>
    <w:lvl w:ilvl="0" w:tplc="ECAE5D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71226"/>
    <w:multiLevelType w:val="hybridMultilevel"/>
    <w:tmpl w:val="E068B3FC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6" w15:restartNumberingAfterBreak="0">
    <w:nsid w:val="44C1624C"/>
    <w:multiLevelType w:val="hybridMultilevel"/>
    <w:tmpl w:val="857EA554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7" w15:restartNumberingAfterBreak="0">
    <w:nsid w:val="7A69564C"/>
    <w:multiLevelType w:val="multilevel"/>
    <w:tmpl w:val="C02A9BB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FE4"/>
    <w:rsid w:val="00014C68"/>
    <w:rsid w:val="00020247"/>
    <w:rsid w:val="00025E92"/>
    <w:rsid w:val="000353A2"/>
    <w:rsid w:val="00047488"/>
    <w:rsid w:val="000503F9"/>
    <w:rsid w:val="000637F8"/>
    <w:rsid w:val="00082FCB"/>
    <w:rsid w:val="00095FDB"/>
    <w:rsid w:val="000B031A"/>
    <w:rsid w:val="000C600A"/>
    <w:rsid w:val="000D0927"/>
    <w:rsid w:val="000D776D"/>
    <w:rsid w:val="000E344D"/>
    <w:rsid w:val="000E6451"/>
    <w:rsid w:val="00117348"/>
    <w:rsid w:val="0013625A"/>
    <w:rsid w:val="00142C36"/>
    <w:rsid w:val="00150B51"/>
    <w:rsid w:val="00155ECB"/>
    <w:rsid w:val="00166587"/>
    <w:rsid w:val="00166CBA"/>
    <w:rsid w:val="00185AAB"/>
    <w:rsid w:val="0019198E"/>
    <w:rsid w:val="00193774"/>
    <w:rsid w:val="001B3E5B"/>
    <w:rsid w:val="001B5C2B"/>
    <w:rsid w:val="001B5F2A"/>
    <w:rsid w:val="001E31D6"/>
    <w:rsid w:val="001E48BD"/>
    <w:rsid w:val="001F5F23"/>
    <w:rsid w:val="002070B8"/>
    <w:rsid w:val="00211A9A"/>
    <w:rsid w:val="00223595"/>
    <w:rsid w:val="00232C84"/>
    <w:rsid w:val="00242879"/>
    <w:rsid w:val="0025399B"/>
    <w:rsid w:val="002620BD"/>
    <w:rsid w:val="00284A12"/>
    <w:rsid w:val="00294CF5"/>
    <w:rsid w:val="002974EE"/>
    <w:rsid w:val="002A1B99"/>
    <w:rsid w:val="002A3088"/>
    <w:rsid w:val="002E3C79"/>
    <w:rsid w:val="002F71AB"/>
    <w:rsid w:val="0031074D"/>
    <w:rsid w:val="00311AC2"/>
    <w:rsid w:val="00316F17"/>
    <w:rsid w:val="0034267D"/>
    <w:rsid w:val="0034644F"/>
    <w:rsid w:val="0034775C"/>
    <w:rsid w:val="00380D1A"/>
    <w:rsid w:val="0038102B"/>
    <w:rsid w:val="0038235A"/>
    <w:rsid w:val="00386233"/>
    <w:rsid w:val="003B04FF"/>
    <w:rsid w:val="003B43D3"/>
    <w:rsid w:val="003C0E68"/>
    <w:rsid w:val="003C3B0F"/>
    <w:rsid w:val="003E069E"/>
    <w:rsid w:val="003F3EA7"/>
    <w:rsid w:val="003F7594"/>
    <w:rsid w:val="004011A9"/>
    <w:rsid w:val="00404655"/>
    <w:rsid w:val="00404B78"/>
    <w:rsid w:val="0040784D"/>
    <w:rsid w:val="004223CB"/>
    <w:rsid w:val="004229ED"/>
    <w:rsid w:val="00434842"/>
    <w:rsid w:val="00480AA5"/>
    <w:rsid w:val="0048550E"/>
    <w:rsid w:val="00490244"/>
    <w:rsid w:val="00494788"/>
    <w:rsid w:val="004955F4"/>
    <w:rsid w:val="004B1268"/>
    <w:rsid w:val="004B58C1"/>
    <w:rsid w:val="004C2D74"/>
    <w:rsid w:val="004C79D2"/>
    <w:rsid w:val="004D2388"/>
    <w:rsid w:val="004E27B4"/>
    <w:rsid w:val="004E2DB8"/>
    <w:rsid w:val="004E65AF"/>
    <w:rsid w:val="004F548E"/>
    <w:rsid w:val="00506FDF"/>
    <w:rsid w:val="00507FF9"/>
    <w:rsid w:val="005244FC"/>
    <w:rsid w:val="0052652D"/>
    <w:rsid w:val="00535151"/>
    <w:rsid w:val="005476B7"/>
    <w:rsid w:val="00550228"/>
    <w:rsid w:val="005520FA"/>
    <w:rsid w:val="005545E0"/>
    <w:rsid w:val="00565988"/>
    <w:rsid w:val="00571DD2"/>
    <w:rsid w:val="0057230B"/>
    <w:rsid w:val="005772C9"/>
    <w:rsid w:val="00592A90"/>
    <w:rsid w:val="005B15D3"/>
    <w:rsid w:val="005D029C"/>
    <w:rsid w:val="00601525"/>
    <w:rsid w:val="00615FEE"/>
    <w:rsid w:val="00616E6C"/>
    <w:rsid w:val="00624A5C"/>
    <w:rsid w:val="00625B02"/>
    <w:rsid w:val="00634770"/>
    <w:rsid w:val="00636576"/>
    <w:rsid w:val="00657278"/>
    <w:rsid w:val="006B10CC"/>
    <w:rsid w:val="006B1583"/>
    <w:rsid w:val="006B6E50"/>
    <w:rsid w:val="006E7235"/>
    <w:rsid w:val="0075402A"/>
    <w:rsid w:val="007662C2"/>
    <w:rsid w:val="00776AC7"/>
    <w:rsid w:val="00780BBD"/>
    <w:rsid w:val="00781451"/>
    <w:rsid w:val="007A074F"/>
    <w:rsid w:val="007A32E4"/>
    <w:rsid w:val="007C2B82"/>
    <w:rsid w:val="007C2DB3"/>
    <w:rsid w:val="007C4AFB"/>
    <w:rsid w:val="007F6DCE"/>
    <w:rsid w:val="00812701"/>
    <w:rsid w:val="00833842"/>
    <w:rsid w:val="00851AD4"/>
    <w:rsid w:val="00883EAE"/>
    <w:rsid w:val="008A6CC2"/>
    <w:rsid w:val="008B0D4D"/>
    <w:rsid w:val="008C07D0"/>
    <w:rsid w:val="008C0FAC"/>
    <w:rsid w:val="008C1C8C"/>
    <w:rsid w:val="008C2A54"/>
    <w:rsid w:val="008D4249"/>
    <w:rsid w:val="008D44B6"/>
    <w:rsid w:val="008E1447"/>
    <w:rsid w:val="008F1EEA"/>
    <w:rsid w:val="008F7333"/>
    <w:rsid w:val="0090264D"/>
    <w:rsid w:val="009117C6"/>
    <w:rsid w:val="00914A95"/>
    <w:rsid w:val="00915EAF"/>
    <w:rsid w:val="0092512F"/>
    <w:rsid w:val="009278CD"/>
    <w:rsid w:val="00937E16"/>
    <w:rsid w:val="00944358"/>
    <w:rsid w:val="00952AE1"/>
    <w:rsid w:val="00984299"/>
    <w:rsid w:val="009C6B2F"/>
    <w:rsid w:val="009E0B66"/>
    <w:rsid w:val="009E1091"/>
    <w:rsid w:val="009F427C"/>
    <w:rsid w:val="00A0323D"/>
    <w:rsid w:val="00A10B7F"/>
    <w:rsid w:val="00A20750"/>
    <w:rsid w:val="00A20A4C"/>
    <w:rsid w:val="00A220A3"/>
    <w:rsid w:val="00A22859"/>
    <w:rsid w:val="00A31701"/>
    <w:rsid w:val="00A3478A"/>
    <w:rsid w:val="00A57035"/>
    <w:rsid w:val="00A71BF8"/>
    <w:rsid w:val="00A77CA7"/>
    <w:rsid w:val="00A86ECA"/>
    <w:rsid w:val="00A93E58"/>
    <w:rsid w:val="00AA18F5"/>
    <w:rsid w:val="00AA6934"/>
    <w:rsid w:val="00AB3FE4"/>
    <w:rsid w:val="00AC4B33"/>
    <w:rsid w:val="00B01673"/>
    <w:rsid w:val="00B05893"/>
    <w:rsid w:val="00B2122A"/>
    <w:rsid w:val="00B22BE8"/>
    <w:rsid w:val="00B37684"/>
    <w:rsid w:val="00B44732"/>
    <w:rsid w:val="00B44BB7"/>
    <w:rsid w:val="00B94A5A"/>
    <w:rsid w:val="00B954C3"/>
    <w:rsid w:val="00BA015C"/>
    <w:rsid w:val="00BA0684"/>
    <w:rsid w:val="00BA3B6E"/>
    <w:rsid w:val="00BA545C"/>
    <w:rsid w:val="00BE0097"/>
    <w:rsid w:val="00BE5500"/>
    <w:rsid w:val="00BF31B8"/>
    <w:rsid w:val="00C0354A"/>
    <w:rsid w:val="00C127CC"/>
    <w:rsid w:val="00C409D8"/>
    <w:rsid w:val="00C51D15"/>
    <w:rsid w:val="00C51F57"/>
    <w:rsid w:val="00C523D1"/>
    <w:rsid w:val="00C5464B"/>
    <w:rsid w:val="00C61D87"/>
    <w:rsid w:val="00C635C0"/>
    <w:rsid w:val="00C6785F"/>
    <w:rsid w:val="00C80D09"/>
    <w:rsid w:val="00C836BB"/>
    <w:rsid w:val="00C9500D"/>
    <w:rsid w:val="00CA0E9C"/>
    <w:rsid w:val="00CB624E"/>
    <w:rsid w:val="00CC78C0"/>
    <w:rsid w:val="00CD341F"/>
    <w:rsid w:val="00CD42BA"/>
    <w:rsid w:val="00CD436D"/>
    <w:rsid w:val="00CD565E"/>
    <w:rsid w:val="00CE1A6D"/>
    <w:rsid w:val="00CE564E"/>
    <w:rsid w:val="00CF097D"/>
    <w:rsid w:val="00D20936"/>
    <w:rsid w:val="00D248AB"/>
    <w:rsid w:val="00D31D4F"/>
    <w:rsid w:val="00D34F7F"/>
    <w:rsid w:val="00D5749B"/>
    <w:rsid w:val="00D604BA"/>
    <w:rsid w:val="00D60E33"/>
    <w:rsid w:val="00D61429"/>
    <w:rsid w:val="00D65905"/>
    <w:rsid w:val="00D71409"/>
    <w:rsid w:val="00D84F29"/>
    <w:rsid w:val="00DA4935"/>
    <w:rsid w:val="00DB742B"/>
    <w:rsid w:val="00DD17BC"/>
    <w:rsid w:val="00DE0A01"/>
    <w:rsid w:val="00E22B9F"/>
    <w:rsid w:val="00E362CB"/>
    <w:rsid w:val="00E50E73"/>
    <w:rsid w:val="00E62186"/>
    <w:rsid w:val="00E770DA"/>
    <w:rsid w:val="00EA19EF"/>
    <w:rsid w:val="00EA24F2"/>
    <w:rsid w:val="00EA6ECA"/>
    <w:rsid w:val="00EB2300"/>
    <w:rsid w:val="00EC06F9"/>
    <w:rsid w:val="00ED0442"/>
    <w:rsid w:val="00EE2FAD"/>
    <w:rsid w:val="00F34D77"/>
    <w:rsid w:val="00F44BE2"/>
    <w:rsid w:val="00F63514"/>
    <w:rsid w:val="00F63555"/>
    <w:rsid w:val="00F70FA4"/>
    <w:rsid w:val="00F84458"/>
    <w:rsid w:val="00F93E9D"/>
    <w:rsid w:val="00FA7177"/>
    <w:rsid w:val="00FA7F91"/>
    <w:rsid w:val="00FC1440"/>
    <w:rsid w:val="00FC1FA1"/>
    <w:rsid w:val="00FD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42243"/>
  <w15:docId w15:val="{C08424EB-9B28-4EC5-AA4D-22156D38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2E3C79"/>
    <w:pPr>
      <w:ind w:left="720"/>
      <w:contextualSpacing/>
    </w:pPr>
  </w:style>
  <w:style w:type="table" w:styleId="TableGrid">
    <w:name w:val="Table Grid"/>
    <w:basedOn w:val="TableNormal"/>
    <w:uiPriority w:val="59"/>
    <w:rsid w:val="002E3C7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2E3C79"/>
  </w:style>
  <w:style w:type="paragraph" w:styleId="BalloonText">
    <w:name w:val="Balloon Text"/>
    <w:basedOn w:val="Normal"/>
    <w:link w:val="BalloonTextChar"/>
    <w:uiPriority w:val="99"/>
    <w:semiHidden/>
    <w:unhideWhenUsed/>
    <w:rsid w:val="00284A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Klassify>
  <SNO>1</SNO>
  <KDate>2020-05-08 12:27:16</KDate>
  <Classification>BHSI-CONFIDENTIAL</Classification>
  <HostName>BHLP-TU2-1258</HostName>
  <Domain_User>XIPL/nishi.agarwal</Domain_User>
  <IPAdd>192.168.1.111</IPAdd>
  <FilePath>C:\Users\nishi.agarwal\Desktop\Travel\PA Combined- Question 2 response.docx</FilePath>
  <KID>54BF643CAA68637245376368778894</KID>
  <UniqueName/>
  <Suggested/>
  <Justification/>
</Klassify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075AA-7D82-4838-8247-F73FF341EF68}">
  <ds:schemaRefs/>
</ds:datastoreItem>
</file>

<file path=customXml/itemProps2.xml><?xml version="1.0" encoding="utf-8"?>
<ds:datastoreItem xmlns:ds="http://schemas.openxmlformats.org/officeDocument/2006/customXml" ds:itemID="{FBF47FC1-A9B8-47A7-9E4E-9D73FE85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Fong, Jenny</dc:creator>
  <cp:lastModifiedBy>Tatarzyn, Katie</cp:lastModifiedBy>
  <cp:revision>31</cp:revision>
  <dcterms:created xsi:type="dcterms:W3CDTF">2020-06-15T17:46:00Z</dcterms:created>
  <dcterms:modified xsi:type="dcterms:W3CDTF">2020-06-15T21:03:00Z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BHSI-CONFIDENTIAL</vt:lpwstr>
  </property>
  <property fmtid="{D5CDD505-2E9C-101B-9397-08002B2CF9AE}" pid="3" name="Rules">
    <vt:lpwstr/>
  </property>
  <property fmtid="{D5CDD505-2E9C-101B-9397-08002B2CF9AE}" pid="4" name="KID">
    <vt:lpwstr>54BF643CAA68637245376368778894</vt:lpwstr>
  </property>
</Properties>
</file>