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A34FE" w14:textId="77777777" w:rsidR="00BA2027" w:rsidRPr="00BA2027" w:rsidRDefault="00147986" w:rsidP="00BA2027">
      <w:pPr>
        <w:pStyle w:val="Title"/>
        <w:spacing w:after="240"/>
        <w:rPr>
          <w:sz w:val="44"/>
          <w:szCs w:val="44"/>
        </w:rPr>
      </w:pPr>
      <w:bookmarkStart w:id="0" w:name="_Hlk150261420"/>
      <w:r w:rsidRPr="00BA2027">
        <w:rPr>
          <w:sz w:val="44"/>
          <w:szCs w:val="44"/>
        </w:rPr>
        <w:t>California Department of Insurance</w:t>
      </w:r>
    </w:p>
    <w:p w14:paraId="3B0D529E" w14:textId="2F5B5D62" w:rsidR="00063062" w:rsidRPr="00BA2027" w:rsidRDefault="00C56B33" w:rsidP="00BA2027">
      <w:pPr>
        <w:pStyle w:val="Title"/>
        <w:spacing w:after="240"/>
        <w:rPr>
          <w:sz w:val="44"/>
          <w:szCs w:val="44"/>
        </w:rPr>
      </w:pPr>
      <w:r w:rsidRPr="00BA2027">
        <w:rPr>
          <w:sz w:val="44"/>
          <w:szCs w:val="44"/>
        </w:rPr>
        <w:t>Nonquantitative Treatment Limitation (</w:t>
      </w:r>
      <w:bookmarkStart w:id="1" w:name="_Hlk150262238"/>
      <w:r w:rsidRPr="00BA2027">
        <w:rPr>
          <w:sz w:val="44"/>
          <w:szCs w:val="44"/>
        </w:rPr>
        <w:t>NQTL)</w:t>
      </w:r>
      <w:r w:rsidR="00BA2027" w:rsidRPr="00BA2027">
        <w:rPr>
          <w:sz w:val="44"/>
          <w:szCs w:val="44"/>
        </w:rPr>
        <w:t xml:space="preserve"> </w:t>
      </w:r>
      <w:r w:rsidR="00EA6D05" w:rsidRPr="00BA2027">
        <w:rPr>
          <w:sz w:val="44"/>
          <w:szCs w:val="44"/>
        </w:rPr>
        <w:t xml:space="preserve">Comparative Analysis </w:t>
      </w:r>
      <w:r w:rsidR="00C3268A" w:rsidRPr="00BA2027">
        <w:rPr>
          <w:sz w:val="44"/>
          <w:szCs w:val="44"/>
        </w:rPr>
        <w:t xml:space="preserve">Submission </w:t>
      </w:r>
      <w:r w:rsidR="005875C6" w:rsidRPr="00BA2027">
        <w:rPr>
          <w:sz w:val="44"/>
          <w:szCs w:val="44"/>
        </w:rPr>
        <w:t>Form</w:t>
      </w:r>
      <w:bookmarkStart w:id="2" w:name="_Hlk96585634"/>
      <w:bookmarkEnd w:id="0"/>
      <w:bookmarkEnd w:id="1"/>
    </w:p>
    <w:p w14:paraId="026F17FB" w14:textId="77B34633" w:rsidR="00AC00B2" w:rsidRDefault="00AC00B2" w:rsidP="00AC00B2">
      <w:pPr>
        <w:spacing w:after="240"/>
        <w:rPr>
          <w:rFonts w:asciiTheme="majorHAnsi" w:hAnsiTheme="majorHAnsi" w:cstheme="majorHAnsi"/>
          <w:i/>
        </w:rPr>
      </w:pPr>
      <w:r>
        <w:rPr>
          <w:rFonts w:asciiTheme="majorHAnsi" w:hAnsiTheme="majorHAnsi" w:cstheme="majorHAnsi"/>
          <w:color w:val="FF0000"/>
        </w:rPr>
        <w:t>INSTRUCTIONS</w:t>
      </w:r>
      <w:r w:rsidR="00147986" w:rsidRPr="00D140E8">
        <w:rPr>
          <w:rFonts w:asciiTheme="majorHAnsi" w:hAnsiTheme="majorHAnsi" w:cstheme="majorHAnsi"/>
          <w:color w:val="FF0000"/>
        </w:rPr>
        <w:t>:</w:t>
      </w:r>
      <w:r w:rsidR="00147986" w:rsidRPr="00AC00B2">
        <w:rPr>
          <w:rFonts w:asciiTheme="majorHAnsi" w:hAnsiTheme="majorHAnsi" w:cstheme="majorHAnsi"/>
          <w:i/>
        </w:rPr>
        <w:t xml:space="preserve"> </w:t>
      </w:r>
      <w:r w:rsidRPr="00AC00B2">
        <w:rPr>
          <w:rFonts w:asciiTheme="majorHAnsi" w:hAnsiTheme="majorHAnsi" w:cstheme="majorHAnsi"/>
          <w:i/>
        </w:rPr>
        <w:t xml:space="preserve">An insurer that imposes NQTLs on </w:t>
      </w:r>
      <w:r w:rsidR="009F5926">
        <w:rPr>
          <w:rFonts w:asciiTheme="majorHAnsi" w:hAnsiTheme="majorHAnsi" w:cstheme="majorHAnsi"/>
          <w:i/>
        </w:rPr>
        <w:t>mental health and substance use disorder (</w:t>
      </w:r>
      <w:r w:rsidRPr="00AC00B2">
        <w:rPr>
          <w:rFonts w:asciiTheme="majorHAnsi" w:hAnsiTheme="majorHAnsi" w:cstheme="majorHAnsi"/>
          <w:i/>
        </w:rPr>
        <w:t>MH/SUD</w:t>
      </w:r>
      <w:r w:rsidR="009F5926">
        <w:rPr>
          <w:rFonts w:asciiTheme="majorHAnsi" w:hAnsiTheme="majorHAnsi" w:cstheme="majorHAnsi"/>
          <w:i/>
        </w:rPr>
        <w:t>)</w:t>
      </w:r>
      <w:r w:rsidRPr="00AC00B2">
        <w:rPr>
          <w:rFonts w:asciiTheme="majorHAnsi" w:hAnsiTheme="majorHAnsi" w:cstheme="majorHAnsi"/>
          <w:i/>
        </w:rPr>
        <w:t xml:space="preserve"> benefits must perform and document comparative analyses of the design and application of NQTLs and make </w:t>
      </w:r>
      <w:r w:rsidR="009F5926">
        <w:rPr>
          <w:rFonts w:asciiTheme="majorHAnsi" w:hAnsiTheme="majorHAnsi" w:cstheme="majorHAnsi"/>
          <w:i/>
        </w:rPr>
        <w:t>the</w:t>
      </w:r>
      <w:r w:rsidRPr="00AC00B2">
        <w:rPr>
          <w:rFonts w:asciiTheme="majorHAnsi" w:hAnsiTheme="majorHAnsi" w:cstheme="majorHAnsi"/>
          <w:i/>
        </w:rPr>
        <w:t xml:space="preserve"> analyses available to the </w:t>
      </w:r>
      <w:r>
        <w:rPr>
          <w:rFonts w:asciiTheme="majorHAnsi" w:hAnsiTheme="majorHAnsi" w:cstheme="majorHAnsi"/>
          <w:i/>
        </w:rPr>
        <w:t>Department of Insurance</w:t>
      </w:r>
      <w:r w:rsidR="009F5926">
        <w:rPr>
          <w:rFonts w:asciiTheme="majorHAnsi" w:hAnsiTheme="majorHAnsi" w:cstheme="majorHAnsi"/>
          <w:i/>
        </w:rPr>
        <w:t xml:space="preserve"> upon request</w:t>
      </w:r>
      <w:r w:rsidRPr="00AC00B2">
        <w:rPr>
          <w:rFonts w:asciiTheme="majorHAnsi" w:hAnsiTheme="majorHAnsi" w:cstheme="majorHAnsi"/>
          <w:i/>
        </w:rPr>
        <w:t>. Cal. Ins. Code §§ 10144.4, 10144.5(f)(3); 42 U.S.C. § 300gg-26; 45 C.F.R. § 146.136.</w:t>
      </w:r>
      <w:r>
        <w:rPr>
          <w:rFonts w:asciiTheme="majorHAnsi" w:hAnsiTheme="majorHAnsi" w:cstheme="majorHAnsi"/>
          <w:i/>
        </w:rPr>
        <w:t xml:space="preserve"> </w:t>
      </w:r>
    </w:p>
    <w:p w14:paraId="1E3F1D5D" w14:textId="2B6D5D4C" w:rsidR="008C00BA" w:rsidRPr="00AC00B2" w:rsidRDefault="00AC00B2" w:rsidP="00AC00B2">
      <w:pPr>
        <w:spacing w:after="240"/>
        <w:rPr>
          <w:rFonts w:asciiTheme="majorHAnsi" w:hAnsiTheme="majorHAnsi" w:cstheme="majorHAnsi"/>
          <w:i/>
        </w:rPr>
      </w:pPr>
      <w:r>
        <w:rPr>
          <w:rFonts w:asciiTheme="majorHAnsi" w:hAnsiTheme="majorHAnsi" w:cstheme="majorHAnsi"/>
          <w:i/>
        </w:rPr>
        <w:t xml:space="preserve">When the </w:t>
      </w:r>
      <w:r w:rsidRPr="00AC00B2">
        <w:rPr>
          <w:rFonts w:asciiTheme="majorHAnsi" w:hAnsiTheme="majorHAnsi" w:cstheme="majorHAnsi"/>
          <w:i/>
        </w:rPr>
        <w:t>comparative analys</w:t>
      </w:r>
      <w:r>
        <w:rPr>
          <w:rFonts w:asciiTheme="majorHAnsi" w:hAnsiTheme="majorHAnsi" w:cstheme="majorHAnsi"/>
          <w:i/>
        </w:rPr>
        <w:t xml:space="preserve">is for an NQTL is requested by the Department, please submit the </w:t>
      </w:r>
      <w:r w:rsidRPr="00AC00B2">
        <w:rPr>
          <w:rFonts w:asciiTheme="majorHAnsi" w:hAnsiTheme="majorHAnsi" w:cstheme="majorHAnsi"/>
          <w:i/>
        </w:rPr>
        <w:t>analys</w:t>
      </w:r>
      <w:r>
        <w:rPr>
          <w:rFonts w:asciiTheme="majorHAnsi" w:hAnsiTheme="majorHAnsi" w:cstheme="majorHAnsi"/>
          <w:i/>
        </w:rPr>
        <w:t xml:space="preserve">is </w:t>
      </w:r>
      <w:r w:rsidR="009F5926">
        <w:rPr>
          <w:rFonts w:asciiTheme="majorHAnsi" w:hAnsiTheme="majorHAnsi" w:cstheme="majorHAnsi"/>
          <w:i/>
        </w:rPr>
        <w:t xml:space="preserve">on the Supporting Documentation tab in SERFF </w:t>
      </w:r>
      <w:r>
        <w:rPr>
          <w:rFonts w:asciiTheme="majorHAnsi" w:hAnsiTheme="majorHAnsi" w:cstheme="majorHAnsi"/>
          <w:i/>
        </w:rPr>
        <w:t xml:space="preserve">using this </w:t>
      </w:r>
      <w:r w:rsidRPr="00AC00B2">
        <w:rPr>
          <w:rFonts w:asciiTheme="majorHAnsi" w:hAnsiTheme="majorHAnsi" w:cstheme="majorHAnsi"/>
          <w:i/>
        </w:rPr>
        <w:t>NQTL reporting submission form</w:t>
      </w:r>
      <w:r>
        <w:rPr>
          <w:rFonts w:asciiTheme="majorHAnsi" w:hAnsiTheme="majorHAnsi" w:cstheme="majorHAnsi"/>
          <w:i/>
        </w:rPr>
        <w:t xml:space="preserve">. </w:t>
      </w:r>
      <w:r w:rsidR="00B73FED" w:rsidRPr="00AC00B2">
        <w:rPr>
          <w:rFonts w:asciiTheme="majorHAnsi" w:hAnsiTheme="majorHAnsi" w:cstheme="majorHAnsi"/>
          <w:i/>
          <w:iCs/>
        </w:rPr>
        <w:t>This form includes the required five elements as specified by 42 U</w:t>
      </w:r>
      <w:r w:rsidR="00571160" w:rsidRPr="00AC00B2">
        <w:rPr>
          <w:rFonts w:asciiTheme="majorHAnsi" w:hAnsiTheme="majorHAnsi" w:cstheme="majorHAnsi"/>
          <w:i/>
          <w:iCs/>
        </w:rPr>
        <w:t>.</w:t>
      </w:r>
      <w:r w:rsidR="00B73FED" w:rsidRPr="00AC00B2">
        <w:rPr>
          <w:rFonts w:asciiTheme="majorHAnsi" w:hAnsiTheme="majorHAnsi" w:cstheme="majorHAnsi"/>
          <w:i/>
          <w:iCs/>
        </w:rPr>
        <w:t>S</w:t>
      </w:r>
      <w:r w:rsidR="00571160" w:rsidRPr="00AC00B2">
        <w:rPr>
          <w:rFonts w:asciiTheme="majorHAnsi" w:hAnsiTheme="majorHAnsi" w:cstheme="majorHAnsi"/>
          <w:i/>
          <w:iCs/>
        </w:rPr>
        <w:t>.</w:t>
      </w:r>
      <w:r w:rsidR="00B73FED" w:rsidRPr="00AC00B2">
        <w:rPr>
          <w:rFonts w:asciiTheme="majorHAnsi" w:hAnsiTheme="majorHAnsi" w:cstheme="majorHAnsi"/>
          <w:i/>
          <w:iCs/>
        </w:rPr>
        <w:t>C</w:t>
      </w:r>
      <w:r w:rsidR="00571160" w:rsidRPr="00AC00B2">
        <w:rPr>
          <w:rFonts w:asciiTheme="majorHAnsi" w:hAnsiTheme="majorHAnsi" w:cstheme="majorHAnsi"/>
          <w:i/>
          <w:iCs/>
        </w:rPr>
        <w:t>.</w:t>
      </w:r>
      <w:r w:rsidR="00B73FED" w:rsidRPr="00AC00B2">
        <w:rPr>
          <w:rFonts w:asciiTheme="majorHAnsi" w:hAnsiTheme="majorHAnsi" w:cstheme="majorHAnsi"/>
          <w:i/>
          <w:iCs/>
        </w:rPr>
        <w:t xml:space="preserve"> Section 300gg-26(a)(8)(A); 29 U</w:t>
      </w:r>
      <w:r w:rsidR="00571160" w:rsidRPr="00AC00B2">
        <w:rPr>
          <w:rFonts w:asciiTheme="majorHAnsi" w:hAnsiTheme="majorHAnsi" w:cstheme="majorHAnsi"/>
          <w:i/>
          <w:iCs/>
        </w:rPr>
        <w:t>.</w:t>
      </w:r>
      <w:r w:rsidR="00B73FED" w:rsidRPr="00AC00B2">
        <w:rPr>
          <w:rFonts w:asciiTheme="majorHAnsi" w:hAnsiTheme="majorHAnsi" w:cstheme="majorHAnsi"/>
          <w:i/>
          <w:iCs/>
        </w:rPr>
        <w:t>S</w:t>
      </w:r>
      <w:r w:rsidR="00571160" w:rsidRPr="00AC00B2">
        <w:rPr>
          <w:rFonts w:asciiTheme="majorHAnsi" w:hAnsiTheme="majorHAnsi" w:cstheme="majorHAnsi"/>
          <w:i/>
          <w:iCs/>
        </w:rPr>
        <w:t>.</w:t>
      </w:r>
      <w:r w:rsidR="00B73FED" w:rsidRPr="00AC00B2">
        <w:rPr>
          <w:rFonts w:asciiTheme="majorHAnsi" w:hAnsiTheme="majorHAnsi" w:cstheme="majorHAnsi"/>
          <w:i/>
          <w:iCs/>
        </w:rPr>
        <w:t>C</w:t>
      </w:r>
      <w:r w:rsidR="00571160" w:rsidRPr="00AC00B2">
        <w:rPr>
          <w:rFonts w:asciiTheme="majorHAnsi" w:hAnsiTheme="majorHAnsi" w:cstheme="majorHAnsi"/>
          <w:i/>
          <w:iCs/>
        </w:rPr>
        <w:t>.</w:t>
      </w:r>
      <w:r w:rsidR="00B73FED" w:rsidRPr="00AC00B2">
        <w:rPr>
          <w:rFonts w:asciiTheme="majorHAnsi" w:hAnsiTheme="majorHAnsi" w:cstheme="majorHAnsi"/>
          <w:i/>
          <w:iCs/>
        </w:rPr>
        <w:t xml:space="preserve"> Section 1185a(a)(8)(A); and 26 U</w:t>
      </w:r>
      <w:r w:rsidR="00571160" w:rsidRPr="00AC00B2">
        <w:rPr>
          <w:rFonts w:asciiTheme="majorHAnsi" w:hAnsiTheme="majorHAnsi" w:cstheme="majorHAnsi"/>
          <w:i/>
          <w:iCs/>
        </w:rPr>
        <w:t>.</w:t>
      </w:r>
      <w:r w:rsidR="00B73FED" w:rsidRPr="00AC00B2">
        <w:rPr>
          <w:rFonts w:asciiTheme="majorHAnsi" w:hAnsiTheme="majorHAnsi" w:cstheme="majorHAnsi"/>
          <w:i/>
          <w:iCs/>
        </w:rPr>
        <w:t>S</w:t>
      </w:r>
      <w:r w:rsidR="00571160" w:rsidRPr="00AC00B2">
        <w:rPr>
          <w:rFonts w:asciiTheme="majorHAnsi" w:hAnsiTheme="majorHAnsi" w:cstheme="majorHAnsi"/>
          <w:i/>
          <w:iCs/>
        </w:rPr>
        <w:t>.</w:t>
      </w:r>
      <w:r w:rsidR="00B73FED" w:rsidRPr="00AC00B2">
        <w:rPr>
          <w:rFonts w:asciiTheme="majorHAnsi" w:hAnsiTheme="majorHAnsi" w:cstheme="majorHAnsi"/>
          <w:i/>
          <w:iCs/>
        </w:rPr>
        <w:t>C</w:t>
      </w:r>
      <w:r w:rsidR="00571160" w:rsidRPr="00AC00B2">
        <w:rPr>
          <w:rFonts w:asciiTheme="majorHAnsi" w:hAnsiTheme="majorHAnsi" w:cstheme="majorHAnsi"/>
          <w:i/>
          <w:iCs/>
        </w:rPr>
        <w:t>.</w:t>
      </w:r>
      <w:r w:rsidR="00B73FED" w:rsidRPr="00AC00B2">
        <w:rPr>
          <w:rFonts w:asciiTheme="majorHAnsi" w:hAnsiTheme="majorHAnsi" w:cstheme="majorHAnsi"/>
          <w:i/>
          <w:iCs/>
        </w:rPr>
        <w:t xml:space="preserve"> Section 9812(a)(8)(A). </w:t>
      </w:r>
      <w:bookmarkEnd w:id="2"/>
      <w:r w:rsidRPr="00AC00B2">
        <w:rPr>
          <w:rFonts w:asciiTheme="majorHAnsi" w:hAnsiTheme="majorHAnsi" w:cstheme="majorHAnsi"/>
          <w:i/>
          <w:iCs/>
        </w:rPr>
        <w:t>Insurers can choose to submit a different form for each classification of benefits (recommended approach) or duplicate the prompts below for each classification of benefits. Do not submit multiple NQTLs in the same document.</w:t>
      </w:r>
    </w:p>
    <w:p w14:paraId="3BEEDCB7" w14:textId="753D94D3" w:rsidR="00D140E8" w:rsidRDefault="00B73FED" w:rsidP="005875C6">
      <w:pPr>
        <w:pStyle w:val="BodyText"/>
        <w:spacing w:before="223" w:line="264" w:lineRule="auto"/>
        <w:jc w:val="center"/>
        <w:rPr>
          <w:rFonts w:asciiTheme="majorHAnsi" w:hAnsiTheme="majorHAnsi" w:cstheme="majorHAnsi"/>
          <w:b/>
          <w:sz w:val="28"/>
          <w:szCs w:val="28"/>
        </w:rPr>
      </w:pPr>
      <w:r w:rsidRPr="00147986">
        <w:rPr>
          <w:rFonts w:asciiTheme="majorHAnsi" w:hAnsiTheme="majorHAnsi" w:cstheme="majorHAnsi"/>
          <w:b/>
          <w:sz w:val="28"/>
          <w:szCs w:val="28"/>
        </w:rPr>
        <w:t>[</w:t>
      </w:r>
      <w:r w:rsidR="00D140E8" w:rsidRPr="00D140E8">
        <w:rPr>
          <w:rFonts w:asciiTheme="majorHAnsi" w:hAnsiTheme="majorHAnsi" w:cstheme="majorHAnsi"/>
          <w:b/>
          <w:color w:val="FF0000"/>
          <w:sz w:val="28"/>
          <w:szCs w:val="28"/>
        </w:rPr>
        <w:t>INSERT NQTL NAME</w:t>
      </w:r>
      <w:r w:rsidR="00D140E8">
        <w:rPr>
          <w:rFonts w:asciiTheme="majorHAnsi" w:hAnsiTheme="majorHAnsi" w:cstheme="majorHAnsi"/>
          <w:b/>
          <w:sz w:val="28"/>
          <w:szCs w:val="28"/>
        </w:rPr>
        <w:t>]</w:t>
      </w:r>
    </w:p>
    <w:p w14:paraId="7AB566B1" w14:textId="5E432755" w:rsidR="005875C6" w:rsidRPr="00147986" w:rsidRDefault="00D140E8" w:rsidP="00BA2027">
      <w:pPr>
        <w:pStyle w:val="BodyText"/>
        <w:spacing w:before="223" w:line="264" w:lineRule="auto"/>
        <w:jc w:val="center"/>
        <w:rPr>
          <w:rFonts w:asciiTheme="majorHAnsi" w:hAnsiTheme="majorHAnsi" w:cstheme="majorHAnsi"/>
          <w:b/>
          <w:sz w:val="28"/>
          <w:szCs w:val="28"/>
        </w:rPr>
      </w:pPr>
      <w:r>
        <w:rPr>
          <w:rFonts w:asciiTheme="majorHAnsi" w:hAnsiTheme="majorHAnsi" w:cstheme="majorHAnsi"/>
          <w:b/>
          <w:sz w:val="28"/>
          <w:szCs w:val="28"/>
        </w:rPr>
        <w:t>[</w:t>
      </w:r>
      <w:r w:rsidRPr="00D140E8">
        <w:rPr>
          <w:rFonts w:asciiTheme="majorHAnsi" w:hAnsiTheme="majorHAnsi" w:cstheme="majorHAnsi"/>
          <w:b/>
          <w:color w:val="FF0000"/>
          <w:sz w:val="28"/>
          <w:szCs w:val="28"/>
        </w:rPr>
        <w:t>INSERT BENEFITS</w:t>
      </w:r>
      <w:r w:rsidR="00B73FED" w:rsidRPr="00D140E8">
        <w:rPr>
          <w:rFonts w:asciiTheme="majorHAnsi" w:hAnsiTheme="majorHAnsi" w:cstheme="majorHAnsi"/>
          <w:b/>
          <w:color w:val="FF0000"/>
          <w:sz w:val="28"/>
          <w:szCs w:val="28"/>
        </w:rPr>
        <w:t xml:space="preserve"> </w:t>
      </w:r>
      <w:r w:rsidRPr="00D140E8">
        <w:rPr>
          <w:rFonts w:asciiTheme="majorHAnsi" w:hAnsiTheme="majorHAnsi" w:cstheme="majorHAnsi"/>
          <w:b/>
          <w:color w:val="FF0000"/>
          <w:sz w:val="28"/>
          <w:szCs w:val="28"/>
        </w:rPr>
        <w:t>CLASSIFICATION</w:t>
      </w:r>
      <w:r w:rsidR="00B73FED" w:rsidRPr="00D140E8">
        <w:rPr>
          <w:rFonts w:asciiTheme="majorHAnsi" w:hAnsiTheme="majorHAnsi" w:cstheme="majorHAnsi"/>
          <w:b/>
          <w:color w:val="FF0000"/>
          <w:sz w:val="28"/>
          <w:szCs w:val="28"/>
        </w:rPr>
        <w:t>/</w:t>
      </w:r>
      <w:r w:rsidRPr="00D140E8">
        <w:rPr>
          <w:rFonts w:asciiTheme="majorHAnsi" w:hAnsiTheme="majorHAnsi" w:cstheme="majorHAnsi"/>
          <w:b/>
          <w:color w:val="FF0000"/>
          <w:sz w:val="28"/>
          <w:szCs w:val="28"/>
        </w:rPr>
        <w:t>SUBCLASSIFICATION</w:t>
      </w:r>
      <w:r w:rsidR="00B73FED" w:rsidRPr="00147986">
        <w:rPr>
          <w:rFonts w:asciiTheme="majorHAnsi" w:hAnsiTheme="majorHAnsi" w:cstheme="majorHAnsi"/>
          <w:b/>
          <w:sz w:val="28"/>
          <w:szCs w:val="28"/>
        </w:rPr>
        <w:t>]</w:t>
      </w:r>
    </w:p>
    <w:p w14:paraId="034FEB83" w14:textId="77777777" w:rsidR="008C00BA" w:rsidRPr="00D27F26" w:rsidRDefault="005410B9" w:rsidP="00025F5C">
      <w:pPr>
        <w:pStyle w:val="BodyText"/>
        <w:spacing w:before="240" w:after="240" w:line="264" w:lineRule="auto"/>
        <w:rPr>
          <w:rFonts w:ascii="Calibri" w:hAnsi="Calibri" w:cs="Calibri"/>
          <w:b/>
          <w:sz w:val="22"/>
          <w:szCs w:val="22"/>
          <w:u w:val="single"/>
        </w:rPr>
      </w:pPr>
      <w:r w:rsidRPr="00D27F26">
        <w:rPr>
          <w:rFonts w:ascii="Calibri" w:hAnsi="Calibri" w:cs="Calibri"/>
          <w:b/>
          <w:sz w:val="22"/>
          <w:szCs w:val="22"/>
          <w:u w:val="single"/>
        </w:rPr>
        <w:t xml:space="preserve">Step 1: </w:t>
      </w:r>
    </w:p>
    <w:p w14:paraId="17858BE1" w14:textId="0113FD61" w:rsidR="005410B9" w:rsidRPr="00FF0BE7" w:rsidRDefault="00C56B33" w:rsidP="00025F5C">
      <w:pPr>
        <w:pStyle w:val="BodyText"/>
        <w:spacing w:before="240" w:after="240" w:line="264" w:lineRule="auto"/>
        <w:rPr>
          <w:rFonts w:ascii="Calibri" w:hAnsi="Calibri" w:cs="Calibri"/>
          <w:b/>
          <w:sz w:val="22"/>
          <w:szCs w:val="22"/>
        </w:rPr>
      </w:pPr>
      <w:r w:rsidRPr="00D27F26">
        <w:rPr>
          <w:rFonts w:ascii="Calibri" w:hAnsi="Calibri" w:cs="Calibri"/>
          <w:iCs/>
          <w:sz w:val="22"/>
          <w:szCs w:val="22"/>
        </w:rPr>
        <w:t>Specify the specific coverage terms or other relevant terms regarding the NQTL that appl</w:t>
      </w:r>
      <w:r w:rsidR="006569D7" w:rsidRPr="00D27F26">
        <w:rPr>
          <w:rFonts w:ascii="Calibri" w:hAnsi="Calibri" w:cs="Calibri"/>
          <w:iCs/>
          <w:sz w:val="22"/>
          <w:szCs w:val="22"/>
        </w:rPr>
        <w:t>y</w:t>
      </w:r>
      <w:r w:rsidRPr="00D27F26">
        <w:rPr>
          <w:rFonts w:ascii="Calibri" w:hAnsi="Calibri" w:cs="Calibri"/>
          <w:iCs/>
          <w:sz w:val="22"/>
          <w:szCs w:val="22"/>
        </w:rPr>
        <w:t xml:space="preserve"> to such coverage, and provide a description of all</w:t>
      </w:r>
      <w:r w:rsidR="0010487B" w:rsidRPr="00D27F26">
        <w:rPr>
          <w:rFonts w:ascii="Calibri" w:hAnsi="Calibri" w:cs="Calibri"/>
          <w:iCs/>
          <w:sz w:val="22"/>
          <w:szCs w:val="22"/>
        </w:rPr>
        <w:t xml:space="preserve"> mental health or substance use disorder </w:t>
      </w:r>
      <w:r w:rsidRPr="00D27F26">
        <w:rPr>
          <w:rFonts w:ascii="Calibri" w:hAnsi="Calibri" w:cs="Calibri"/>
          <w:iCs/>
          <w:sz w:val="22"/>
          <w:szCs w:val="22"/>
        </w:rPr>
        <w:t>and medical or surgical benefit</w:t>
      </w:r>
      <w:bookmarkStart w:id="3" w:name="_GoBack"/>
      <w:bookmarkEnd w:id="3"/>
      <w:r w:rsidRPr="00D27F26">
        <w:rPr>
          <w:rFonts w:ascii="Calibri" w:hAnsi="Calibri" w:cs="Calibri"/>
          <w:iCs/>
          <w:sz w:val="22"/>
          <w:szCs w:val="22"/>
        </w:rPr>
        <w:t>s to which the NQTL applies or</w:t>
      </w:r>
      <w:r w:rsidR="00E21EAB">
        <w:rPr>
          <w:rFonts w:ascii="Calibri" w:hAnsi="Calibri" w:cs="Calibri"/>
          <w:iCs/>
          <w:sz w:val="22"/>
          <w:szCs w:val="22"/>
        </w:rPr>
        <w:t xml:space="preserve"> to</w:t>
      </w:r>
      <w:r w:rsidRPr="00D27F26">
        <w:rPr>
          <w:rFonts w:ascii="Calibri" w:hAnsi="Calibri" w:cs="Calibri"/>
          <w:iCs/>
          <w:sz w:val="22"/>
          <w:szCs w:val="22"/>
        </w:rPr>
        <w:t xml:space="preserve"> which it does not apply.</w:t>
      </w:r>
    </w:p>
    <w:p w14:paraId="6F804777" w14:textId="5E04FCEB" w:rsidR="00C85001" w:rsidRPr="00D27F26" w:rsidRDefault="007D2B2D" w:rsidP="00025F5C">
      <w:pPr>
        <w:pStyle w:val="BodyText"/>
        <w:spacing w:before="240" w:after="240" w:line="264" w:lineRule="auto"/>
        <w:rPr>
          <w:rFonts w:ascii="Calibri" w:hAnsi="Calibri" w:cs="Calibri"/>
          <w:iCs/>
          <w:sz w:val="22"/>
          <w:szCs w:val="22"/>
        </w:rPr>
      </w:pPr>
      <w:bookmarkStart w:id="4" w:name="_Hlk15997097"/>
      <w:r w:rsidRPr="00D27F26">
        <w:rPr>
          <w:rFonts w:ascii="Calibri" w:hAnsi="Calibri" w:cs="Calibri"/>
          <w:b/>
          <w:iCs/>
          <w:sz w:val="22"/>
          <w:szCs w:val="22"/>
        </w:rPr>
        <w:t>FAQ 45 Guidance:</w:t>
      </w:r>
      <w:r w:rsidRPr="00D27F26">
        <w:rPr>
          <w:rFonts w:ascii="Calibri" w:hAnsi="Calibri" w:cs="Calibri"/>
          <w:iCs/>
          <w:sz w:val="22"/>
          <w:szCs w:val="22"/>
        </w:rPr>
        <w:t xml:space="preserve"> </w:t>
      </w:r>
      <w:hyperlink r:id="rId10" w:history="1">
        <w:r w:rsidR="00C56B33" w:rsidRPr="00D27F26">
          <w:rPr>
            <w:rStyle w:val="Hyperlink"/>
            <w:rFonts w:ascii="Calibri" w:hAnsi="Calibri" w:cs="Calibri"/>
            <w:iCs/>
            <w:sz w:val="22"/>
            <w:szCs w:val="22"/>
          </w:rPr>
          <w:t>The FAQ 45</w:t>
        </w:r>
      </w:hyperlink>
      <w:r w:rsidR="00C56B33" w:rsidRPr="00D27F26">
        <w:rPr>
          <w:rFonts w:ascii="Calibri" w:hAnsi="Calibri" w:cs="Calibri"/>
          <w:iCs/>
          <w:sz w:val="22"/>
          <w:szCs w:val="22"/>
        </w:rPr>
        <w:t xml:space="preserve"> (Q2, #’s 1 and 2) guidance stipulate</w:t>
      </w:r>
      <w:r w:rsidR="00FF0BE7">
        <w:rPr>
          <w:rFonts w:ascii="Calibri" w:hAnsi="Calibri" w:cs="Calibri"/>
          <w:iCs/>
          <w:sz w:val="22"/>
          <w:szCs w:val="22"/>
        </w:rPr>
        <w:t>s</w:t>
      </w:r>
      <w:r w:rsidR="00C56B33" w:rsidRPr="00D27F26">
        <w:rPr>
          <w:rFonts w:ascii="Calibri" w:hAnsi="Calibri" w:cs="Calibri"/>
          <w:iCs/>
          <w:sz w:val="22"/>
          <w:szCs w:val="22"/>
        </w:rPr>
        <w:t xml:space="preserve"> that a sufficient analysis</w:t>
      </w:r>
      <w:r w:rsidR="00684C40" w:rsidRPr="00D27F26">
        <w:rPr>
          <w:rFonts w:ascii="Calibri" w:hAnsi="Calibri" w:cs="Calibri"/>
          <w:iCs/>
          <w:sz w:val="22"/>
          <w:szCs w:val="22"/>
        </w:rPr>
        <w:t xml:space="preserve"> </w:t>
      </w:r>
      <w:r w:rsidR="00C56B33" w:rsidRPr="00D27F26">
        <w:rPr>
          <w:rFonts w:ascii="Calibri" w:hAnsi="Calibri" w:cs="Calibri"/>
          <w:iCs/>
          <w:sz w:val="22"/>
          <w:szCs w:val="22"/>
        </w:rPr>
        <w:t>include</w:t>
      </w:r>
      <w:r w:rsidR="00E21EAB">
        <w:rPr>
          <w:rFonts w:ascii="Calibri" w:hAnsi="Calibri" w:cs="Calibri"/>
          <w:iCs/>
          <w:sz w:val="22"/>
          <w:szCs w:val="22"/>
        </w:rPr>
        <w:t>s</w:t>
      </w:r>
      <w:r w:rsidR="00C56B33" w:rsidRPr="00D27F26">
        <w:rPr>
          <w:rFonts w:ascii="Calibri" w:hAnsi="Calibri" w:cs="Calibri"/>
          <w:iCs/>
          <w:sz w:val="22"/>
          <w:szCs w:val="22"/>
        </w:rPr>
        <w:t xml:space="preserve">: </w:t>
      </w:r>
    </w:p>
    <w:p w14:paraId="4BA42603" w14:textId="0067A2C2" w:rsidR="00C85001" w:rsidRPr="00D27F26" w:rsidRDefault="00C56B33" w:rsidP="00025F5C">
      <w:pPr>
        <w:pStyle w:val="BodyText"/>
        <w:spacing w:before="240" w:after="240" w:line="264" w:lineRule="auto"/>
        <w:rPr>
          <w:rFonts w:ascii="Calibri" w:hAnsi="Calibri" w:cs="Calibri"/>
          <w:iCs/>
          <w:sz w:val="22"/>
          <w:szCs w:val="22"/>
        </w:rPr>
      </w:pPr>
      <w:r w:rsidRPr="00D27F26">
        <w:rPr>
          <w:rFonts w:ascii="Calibri" w:hAnsi="Calibri" w:cs="Calibri"/>
          <w:iCs/>
          <w:sz w:val="22"/>
          <w:szCs w:val="22"/>
        </w:rPr>
        <w:t xml:space="preserve">A clear description of the specific NQTL, </w:t>
      </w:r>
      <w:r w:rsidR="00FF0BE7">
        <w:rPr>
          <w:rFonts w:ascii="Calibri" w:hAnsi="Calibri" w:cs="Calibri"/>
          <w:iCs/>
          <w:sz w:val="22"/>
          <w:szCs w:val="22"/>
        </w:rPr>
        <w:t xml:space="preserve">coverage </w:t>
      </w:r>
      <w:r w:rsidRPr="00D27F26">
        <w:rPr>
          <w:rFonts w:ascii="Calibri" w:hAnsi="Calibri" w:cs="Calibri"/>
          <w:iCs/>
          <w:sz w:val="22"/>
          <w:szCs w:val="22"/>
        </w:rPr>
        <w:t xml:space="preserve">terms, and policies at issue; and </w:t>
      </w:r>
    </w:p>
    <w:p w14:paraId="7BDCA885" w14:textId="33154A11" w:rsidR="00C56B33" w:rsidRPr="00D27F26" w:rsidRDefault="00C56B33" w:rsidP="00025F5C">
      <w:pPr>
        <w:pStyle w:val="BodyText"/>
        <w:spacing w:before="240" w:after="240" w:line="264" w:lineRule="auto"/>
        <w:rPr>
          <w:rFonts w:ascii="Calibri" w:hAnsi="Calibri" w:cs="Calibri"/>
          <w:iCs/>
          <w:sz w:val="22"/>
          <w:szCs w:val="22"/>
        </w:rPr>
      </w:pPr>
      <w:r w:rsidRPr="00D27F26">
        <w:rPr>
          <w:rFonts w:ascii="Calibri" w:hAnsi="Calibri" w:cs="Calibri"/>
          <w:iCs/>
          <w:sz w:val="22"/>
          <w:szCs w:val="22"/>
        </w:rPr>
        <w:t xml:space="preserve">Identification of the specific </w:t>
      </w:r>
      <w:r w:rsidR="00835166" w:rsidRPr="00D27F26">
        <w:rPr>
          <w:rFonts w:ascii="Calibri" w:hAnsi="Calibri" w:cs="Calibri"/>
          <w:iCs/>
          <w:sz w:val="22"/>
          <w:szCs w:val="22"/>
        </w:rPr>
        <w:t xml:space="preserve">mental health or substance use disorder and medical or </w:t>
      </w:r>
      <w:r w:rsidRPr="00D27F26">
        <w:rPr>
          <w:rFonts w:ascii="Calibri" w:hAnsi="Calibri" w:cs="Calibri"/>
          <w:iCs/>
          <w:sz w:val="22"/>
          <w:szCs w:val="22"/>
        </w:rPr>
        <w:t>surgical benefits to which the NQTL applies within each benefit classification, and a clear statement as to which benefits i</w:t>
      </w:r>
      <w:r w:rsidR="00835166" w:rsidRPr="00D27F26">
        <w:rPr>
          <w:rFonts w:ascii="Calibri" w:hAnsi="Calibri" w:cs="Calibri"/>
          <w:iCs/>
          <w:sz w:val="22"/>
          <w:szCs w:val="22"/>
        </w:rPr>
        <w:t>dentified are treated as mental health or substance use disorder</w:t>
      </w:r>
      <w:r w:rsidRPr="00D27F26">
        <w:rPr>
          <w:rFonts w:ascii="Calibri" w:hAnsi="Calibri" w:cs="Calibri"/>
          <w:iCs/>
          <w:sz w:val="22"/>
          <w:szCs w:val="22"/>
        </w:rPr>
        <w:t xml:space="preserve"> a</w:t>
      </w:r>
      <w:r w:rsidR="00D8367B" w:rsidRPr="00D27F26">
        <w:rPr>
          <w:rFonts w:ascii="Calibri" w:hAnsi="Calibri" w:cs="Calibri"/>
          <w:iCs/>
          <w:sz w:val="22"/>
          <w:szCs w:val="22"/>
        </w:rPr>
        <w:t xml:space="preserve">nd which are treated as medical or </w:t>
      </w:r>
      <w:r w:rsidRPr="00D27F26">
        <w:rPr>
          <w:rFonts w:ascii="Calibri" w:hAnsi="Calibri" w:cs="Calibri"/>
          <w:iCs/>
          <w:sz w:val="22"/>
          <w:szCs w:val="22"/>
        </w:rPr>
        <w:t xml:space="preserve">surgical. </w:t>
      </w:r>
    </w:p>
    <w:p w14:paraId="02ADC4C6" w14:textId="5A96BB0B" w:rsidR="00603227" w:rsidRPr="00D27F26" w:rsidRDefault="000C5C8A" w:rsidP="00025F5C">
      <w:pPr>
        <w:pStyle w:val="BodyText"/>
        <w:spacing w:before="240" w:after="240" w:line="264" w:lineRule="auto"/>
        <w:rPr>
          <w:rFonts w:ascii="Calibri" w:hAnsi="Calibri" w:cs="Calibri"/>
          <w:b/>
          <w:bCs/>
          <w:sz w:val="22"/>
          <w:szCs w:val="22"/>
        </w:rPr>
      </w:pPr>
      <w:r>
        <w:rPr>
          <w:rFonts w:ascii="Calibri" w:hAnsi="Calibri" w:cs="Calibri"/>
          <w:b/>
          <w:bCs/>
          <w:sz w:val="22"/>
          <w:szCs w:val="22"/>
        </w:rPr>
        <w:t xml:space="preserve">Insurer </w:t>
      </w:r>
      <w:r w:rsidR="00B73FED" w:rsidRPr="00D27F26">
        <w:rPr>
          <w:rFonts w:ascii="Calibri" w:hAnsi="Calibri" w:cs="Calibri"/>
          <w:b/>
          <w:bCs/>
          <w:sz w:val="22"/>
          <w:szCs w:val="22"/>
        </w:rPr>
        <w:t>Response: [</w:t>
      </w:r>
      <w:r w:rsidR="00B73FED" w:rsidRPr="00D27F26">
        <w:rPr>
          <w:rFonts w:ascii="Calibri" w:hAnsi="Calibri" w:cs="Calibri"/>
          <w:b/>
          <w:bCs/>
          <w:color w:val="FF0000"/>
          <w:sz w:val="22"/>
          <w:szCs w:val="22"/>
        </w:rPr>
        <w:t>Insert Here</w:t>
      </w:r>
      <w:r w:rsidR="00B73FED" w:rsidRPr="00D27F26">
        <w:rPr>
          <w:rFonts w:ascii="Calibri" w:hAnsi="Calibri" w:cs="Calibri"/>
          <w:b/>
          <w:bCs/>
          <w:sz w:val="22"/>
          <w:szCs w:val="22"/>
        </w:rPr>
        <w:t>]</w:t>
      </w:r>
    </w:p>
    <w:bookmarkEnd w:id="4"/>
    <w:p w14:paraId="5CA50BF6" w14:textId="7427FB32" w:rsidR="005410B9" w:rsidRPr="00D27F26" w:rsidRDefault="00F90121" w:rsidP="00025F5C">
      <w:pPr>
        <w:pStyle w:val="BodyText"/>
        <w:spacing w:before="240" w:after="240" w:line="264" w:lineRule="auto"/>
        <w:rPr>
          <w:rFonts w:ascii="Calibri" w:hAnsi="Calibri" w:cs="Calibri"/>
          <w:sz w:val="22"/>
          <w:szCs w:val="22"/>
        </w:rPr>
      </w:pPr>
      <w:r w:rsidRPr="00D27F26">
        <w:rPr>
          <w:rFonts w:ascii="Calibri" w:hAnsi="Calibri" w:cs="Calibri"/>
          <w:sz w:val="22"/>
          <w:szCs w:val="22"/>
        </w:rPr>
        <w:tab/>
      </w:r>
    </w:p>
    <w:p w14:paraId="6ECE0E67" w14:textId="77777777" w:rsidR="00E21EAB" w:rsidRDefault="00E21EAB" w:rsidP="00025F5C">
      <w:pPr>
        <w:widowControl/>
        <w:autoSpaceDE/>
        <w:autoSpaceDN/>
        <w:spacing w:before="240" w:after="240"/>
        <w:rPr>
          <w:rFonts w:ascii="Calibri" w:hAnsi="Calibri" w:cs="Calibri"/>
          <w:b/>
          <w:u w:val="single"/>
        </w:rPr>
      </w:pPr>
      <w:r>
        <w:rPr>
          <w:rFonts w:ascii="Calibri" w:hAnsi="Calibri" w:cs="Calibri"/>
          <w:b/>
          <w:u w:val="single"/>
        </w:rPr>
        <w:br w:type="page"/>
      </w:r>
    </w:p>
    <w:p w14:paraId="660F6C22" w14:textId="2A43317B" w:rsidR="008C00BA" w:rsidRPr="00D27F26" w:rsidRDefault="005410B9" w:rsidP="00025F5C">
      <w:pPr>
        <w:pStyle w:val="BodyText"/>
        <w:spacing w:before="240" w:after="240" w:line="264" w:lineRule="auto"/>
        <w:rPr>
          <w:rFonts w:ascii="Calibri" w:hAnsi="Calibri" w:cs="Calibri"/>
          <w:b/>
          <w:sz w:val="22"/>
          <w:szCs w:val="22"/>
          <w:u w:val="single"/>
        </w:rPr>
      </w:pPr>
      <w:r w:rsidRPr="00D27F26">
        <w:rPr>
          <w:rFonts w:ascii="Calibri" w:hAnsi="Calibri" w:cs="Calibri"/>
          <w:b/>
          <w:sz w:val="22"/>
          <w:szCs w:val="22"/>
          <w:u w:val="single"/>
        </w:rPr>
        <w:lastRenderedPageBreak/>
        <w:t xml:space="preserve">Step 2: </w:t>
      </w:r>
    </w:p>
    <w:p w14:paraId="42C8BC6D" w14:textId="329B907A" w:rsidR="005410B9" w:rsidRPr="00D27F26" w:rsidRDefault="009F4105" w:rsidP="00025F5C">
      <w:pPr>
        <w:pStyle w:val="BodyText"/>
        <w:spacing w:before="240" w:after="240" w:line="264" w:lineRule="auto"/>
        <w:rPr>
          <w:rFonts w:ascii="Calibri" w:hAnsi="Calibri" w:cs="Calibri"/>
          <w:b/>
          <w:sz w:val="22"/>
          <w:szCs w:val="22"/>
        </w:rPr>
      </w:pPr>
      <w:r w:rsidRPr="00D27F26">
        <w:rPr>
          <w:rFonts w:ascii="Calibri" w:hAnsi="Calibri" w:cs="Calibri"/>
          <w:iCs/>
          <w:sz w:val="22"/>
          <w:szCs w:val="22"/>
        </w:rPr>
        <w:t xml:space="preserve">Identify the factors </w:t>
      </w:r>
      <w:r w:rsidR="003D40C6" w:rsidRPr="00D27F26">
        <w:rPr>
          <w:rFonts w:ascii="Calibri" w:hAnsi="Calibri" w:cs="Calibri"/>
          <w:iCs/>
          <w:sz w:val="22"/>
          <w:szCs w:val="22"/>
        </w:rPr>
        <w:t xml:space="preserve">used to determine that the NQTL will apply to </w:t>
      </w:r>
      <w:r w:rsidR="00A751DB" w:rsidRPr="00D27F26">
        <w:rPr>
          <w:rFonts w:ascii="Calibri" w:hAnsi="Calibri" w:cs="Calibri"/>
          <w:iCs/>
          <w:sz w:val="22"/>
          <w:szCs w:val="22"/>
        </w:rPr>
        <w:t>mental health or substance use disorder</w:t>
      </w:r>
      <w:r w:rsidR="003D40C6" w:rsidRPr="00D27F26">
        <w:rPr>
          <w:rFonts w:ascii="Calibri" w:hAnsi="Calibri" w:cs="Calibri"/>
          <w:iCs/>
          <w:sz w:val="22"/>
          <w:szCs w:val="22"/>
        </w:rPr>
        <w:t xml:space="preserve"> benefits and medical or surgical benefits.</w:t>
      </w:r>
    </w:p>
    <w:p w14:paraId="35DF028A" w14:textId="77777777" w:rsidR="00E928B1" w:rsidRPr="00D27F26" w:rsidRDefault="00575DC0" w:rsidP="00025F5C">
      <w:pPr>
        <w:pStyle w:val="BodyText"/>
        <w:spacing w:before="240" w:after="240" w:line="264" w:lineRule="auto"/>
        <w:rPr>
          <w:rFonts w:ascii="Calibri" w:hAnsi="Calibri" w:cs="Calibri"/>
          <w:iCs/>
          <w:sz w:val="22"/>
          <w:szCs w:val="22"/>
        </w:rPr>
      </w:pPr>
      <w:r w:rsidRPr="00D27F26">
        <w:rPr>
          <w:rFonts w:ascii="Calibri" w:hAnsi="Calibri" w:cs="Calibri"/>
          <w:b/>
          <w:iCs/>
          <w:sz w:val="22"/>
          <w:szCs w:val="22"/>
        </w:rPr>
        <w:t xml:space="preserve">FAQ 45 Guidance: </w:t>
      </w:r>
      <w:hyperlink r:id="rId11" w:history="1">
        <w:r w:rsidRPr="00D27F26">
          <w:rPr>
            <w:rStyle w:val="Hyperlink"/>
            <w:rFonts w:ascii="Calibri" w:hAnsi="Calibri" w:cs="Calibri"/>
            <w:iCs/>
            <w:sz w:val="22"/>
            <w:szCs w:val="22"/>
          </w:rPr>
          <w:t>The FAQ 45</w:t>
        </w:r>
      </w:hyperlink>
      <w:r w:rsidRPr="00D27F26">
        <w:rPr>
          <w:rFonts w:ascii="Calibri" w:hAnsi="Calibri" w:cs="Calibri"/>
          <w:iCs/>
          <w:sz w:val="22"/>
          <w:szCs w:val="22"/>
        </w:rPr>
        <w:t xml:space="preserve"> (Q2, #3) guidance stipulates that </w:t>
      </w:r>
      <w:r w:rsidR="00E928B1" w:rsidRPr="00D27F26">
        <w:rPr>
          <w:rFonts w:ascii="Calibri" w:hAnsi="Calibri" w:cs="Calibri"/>
          <w:iCs/>
          <w:sz w:val="22"/>
          <w:szCs w:val="22"/>
        </w:rPr>
        <w:t>a sufficient</w:t>
      </w:r>
      <w:r w:rsidRPr="00D27F26">
        <w:rPr>
          <w:rFonts w:ascii="Calibri" w:hAnsi="Calibri" w:cs="Calibri"/>
          <w:iCs/>
          <w:sz w:val="22"/>
          <w:szCs w:val="22"/>
        </w:rPr>
        <w:t xml:space="preserve"> analysis includes: </w:t>
      </w:r>
    </w:p>
    <w:p w14:paraId="2E338CC6" w14:textId="3B387C92" w:rsidR="00CD04D9" w:rsidRPr="00D27F26" w:rsidRDefault="00575DC0" w:rsidP="00025F5C">
      <w:pPr>
        <w:pStyle w:val="BodyText"/>
        <w:spacing w:before="240" w:after="240" w:line="264" w:lineRule="auto"/>
        <w:rPr>
          <w:rFonts w:ascii="Calibri" w:hAnsi="Calibri" w:cs="Calibri"/>
          <w:iCs/>
          <w:sz w:val="22"/>
          <w:szCs w:val="22"/>
        </w:rPr>
      </w:pPr>
      <w:r w:rsidRPr="00D27F26">
        <w:rPr>
          <w:rFonts w:ascii="Calibri" w:hAnsi="Calibri" w:cs="Calibri"/>
          <w:iCs/>
          <w:sz w:val="22"/>
          <w:szCs w:val="22"/>
        </w:rPr>
        <w:t xml:space="preserve">Identification of any factors, evidentiary standards or sources, or strategies or processes considered in the design or application of the NQTL and in determining which benefits, including both </w:t>
      </w:r>
      <w:r w:rsidR="00753EE8" w:rsidRPr="00D27F26">
        <w:rPr>
          <w:rFonts w:ascii="Calibri" w:hAnsi="Calibri" w:cs="Calibri"/>
          <w:iCs/>
          <w:sz w:val="22"/>
          <w:szCs w:val="22"/>
        </w:rPr>
        <w:t xml:space="preserve">mental health or substance use disorder benefits and medical or </w:t>
      </w:r>
      <w:r w:rsidRPr="00D27F26">
        <w:rPr>
          <w:rFonts w:ascii="Calibri" w:hAnsi="Calibri" w:cs="Calibri"/>
          <w:iCs/>
          <w:sz w:val="22"/>
          <w:szCs w:val="22"/>
        </w:rPr>
        <w:t xml:space="preserve">surgical benefits, are subject to the NQTL. Analyses should explain whether any factors were given more weight than others and the reason(s) for doing so, including an evaluation of any specific data used in the determination. </w:t>
      </w:r>
    </w:p>
    <w:p w14:paraId="15F1D1E7" w14:textId="252CCE77" w:rsidR="00DB479F" w:rsidRPr="00D27F26" w:rsidRDefault="000C5C8A" w:rsidP="00025F5C">
      <w:pPr>
        <w:pStyle w:val="BodyText"/>
        <w:spacing w:before="240" w:after="240" w:line="264" w:lineRule="auto"/>
        <w:rPr>
          <w:rFonts w:ascii="Calibri" w:hAnsi="Calibri" w:cs="Calibri"/>
          <w:b/>
          <w:bCs/>
          <w:iCs/>
          <w:sz w:val="22"/>
          <w:szCs w:val="22"/>
        </w:rPr>
      </w:pPr>
      <w:r>
        <w:rPr>
          <w:rFonts w:ascii="Calibri" w:hAnsi="Calibri" w:cs="Calibri"/>
          <w:b/>
          <w:bCs/>
          <w:iCs/>
          <w:sz w:val="22"/>
          <w:szCs w:val="22"/>
        </w:rPr>
        <w:t xml:space="preserve">Insurer </w:t>
      </w:r>
      <w:r w:rsidR="00B73FED" w:rsidRPr="00D27F26">
        <w:rPr>
          <w:rFonts w:ascii="Calibri" w:hAnsi="Calibri" w:cs="Calibri"/>
          <w:b/>
          <w:bCs/>
          <w:iCs/>
          <w:sz w:val="22"/>
          <w:szCs w:val="22"/>
        </w:rPr>
        <w:t>Response: [</w:t>
      </w:r>
      <w:r w:rsidR="00B73FED" w:rsidRPr="00D27F26">
        <w:rPr>
          <w:rFonts w:ascii="Calibri" w:hAnsi="Calibri" w:cs="Calibri"/>
          <w:b/>
          <w:bCs/>
          <w:iCs/>
          <w:color w:val="FF0000"/>
          <w:sz w:val="22"/>
          <w:szCs w:val="22"/>
        </w:rPr>
        <w:t>Insert here</w:t>
      </w:r>
      <w:r w:rsidR="00B73FED" w:rsidRPr="00D27F26">
        <w:rPr>
          <w:rFonts w:ascii="Calibri" w:hAnsi="Calibri" w:cs="Calibri"/>
          <w:b/>
          <w:bCs/>
          <w:iCs/>
          <w:sz w:val="22"/>
          <w:szCs w:val="22"/>
        </w:rPr>
        <w:t>]</w:t>
      </w:r>
    </w:p>
    <w:p w14:paraId="287F4AB3" w14:textId="5F080EF9" w:rsidR="00820BA4" w:rsidRPr="00D27F26" w:rsidRDefault="00820BA4" w:rsidP="00025F5C">
      <w:pPr>
        <w:pStyle w:val="BodyText"/>
        <w:spacing w:before="240" w:after="240"/>
        <w:rPr>
          <w:rFonts w:ascii="Calibri" w:hAnsi="Calibri" w:cs="Calibri"/>
          <w:sz w:val="22"/>
          <w:szCs w:val="22"/>
        </w:rPr>
      </w:pPr>
    </w:p>
    <w:p w14:paraId="5333501B" w14:textId="77777777" w:rsidR="008C00BA" w:rsidRPr="00D27F26" w:rsidRDefault="008C00BA" w:rsidP="00025F5C">
      <w:pPr>
        <w:pStyle w:val="BodyText"/>
        <w:spacing w:before="240" w:after="240"/>
        <w:rPr>
          <w:rFonts w:ascii="Calibri" w:hAnsi="Calibri" w:cs="Calibri"/>
          <w:sz w:val="22"/>
          <w:szCs w:val="22"/>
        </w:rPr>
      </w:pPr>
    </w:p>
    <w:p w14:paraId="2A1275BB" w14:textId="369088D1" w:rsidR="00E21EAB" w:rsidRDefault="005410B9" w:rsidP="00025F5C">
      <w:pPr>
        <w:pStyle w:val="BodyText"/>
        <w:spacing w:before="240" w:after="240" w:line="264" w:lineRule="auto"/>
        <w:ind w:right="1381"/>
        <w:rPr>
          <w:rFonts w:ascii="Calibri" w:hAnsi="Calibri" w:cs="Calibri"/>
          <w:iCs/>
          <w:sz w:val="22"/>
          <w:szCs w:val="22"/>
        </w:rPr>
      </w:pPr>
      <w:r w:rsidRPr="00D27F26">
        <w:rPr>
          <w:rFonts w:ascii="Calibri" w:hAnsi="Calibri" w:cs="Calibri"/>
          <w:b/>
          <w:sz w:val="22"/>
          <w:szCs w:val="22"/>
          <w:u w:val="single"/>
        </w:rPr>
        <w:t>Step 3:</w:t>
      </w:r>
    </w:p>
    <w:p w14:paraId="3B571200" w14:textId="61DD932A" w:rsidR="00463FA4" w:rsidRPr="00D27F26" w:rsidRDefault="00575DC0" w:rsidP="00025F5C">
      <w:pPr>
        <w:pStyle w:val="BodyText"/>
        <w:spacing w:before="240" w:after="240" w:line="264" w:lineRule="auto"/>
        <w:ind w:right="1381"/>
        <w:rPr>
          <w:rFonts w:ascii="Calibri" w:hAnsi="Calibri" w:cs="Calibri"/>
          <w:b/>
          <w:sz w:val="22"/>
          <w:szCs w:val="22"/>
        </w:rPr>
      </w:pPr>
      <w:r w:rsidRPr="00D27F26">
        <w:rPr>
          <w:rFonts w:ascii="Calibri" w:hAnsi="Calibri" w:cs="Calibri"/>
          <w:iCs/>
          <w:sz w:val="22"/>
          <w:szCs w:val="22"/>
        </w:rPr>
        <w:t xml:space="preserve">Provide the evidentiary standards used for the factors identified in Step 2, when applicable, provided that every factor shall be defined, and any other source or evidence relied upon to design and apply the NQTL to </w:t>
      </w:r>
      <w:r w:rsidR="000136BA" w:rsidRPr="00D27F26">
        <w:rPr>
          <w:rFonts w:ascii="Calibri" w:hAnsi="Calibri" w:cs="Calibri"/>
          <w:iCs/>
          <w:sz w:val="22"/>
          <w:szCs w:val="22"/>
        </w:rPr>
        <w:t>mental health or substance use disorder</w:t>
      </w:r>
      <w:r w:rsidRPr="00D27F26">
        <w:rPr>
          <w:rFonts w:ascii="Calibri" w:hAnsi="Calibri" w:cs="Calibri"/>
          <w:iCs/>
          <w:sz w:val="22"/>
          <w:szCs w:val="22"/>
        </w:rPr>
        <w:t xml:space="preserve"> benefits and medical or surgical benefits.</w:t>
      </w:r>
    </w:p>
    <w:p w14:paraId="418972C2" w14:textId="77777777" w:rsidR="00152217" w:rsidRPr="00D27F26" w:rsidRDefault="00C45D31" w:rsidP="00025F5C">
      <w:pPr>
        <w:pStyle w:val="BodyText"/>
        <w:spacing w:before="240" w:after="240" w:line="264" w:lineRule="auto"/>
        <w:ind w:right="1381"/>
        <w:rPr>
          <w:rFonts w:ascii="Calibri" w:hAnsi="Calibri" w:cs="Calibri"/>
          <w:iCs/>
          <w:sz w:val="22"/>
          <w:szCs w:val="22"/>
        </w:rPr>
      </w:pPr>
      <w:bookmarkStart w:id="5" w:name="_Hlk73768532"/>
      <w:r w:rsidRPr="00D27F26">
        <w:rPr>
          <w:rFonts w:ascii="Calibri" w:hAnsi="Calibri" w:cs="Calibri"/>
          <w:b/>
          <w:iCs/>
          <w:sz w:val="22"/>
          <w:szCs w:val="22"/>
        </w:rPr>
        <w:t>FAQ 45 Guidance:</w:t>
      </w:r>
      <w:r w:rsidRPr="00D27F26">
        <w:rPr>
          <w:rFonts w:ascii="Calibri" w:hAnsi="Calibri" w:cs="Calibri"/>
          <w:iCs/>
          <w:sz w:val="22"/>
          <w:szCs w:val="22"/>
        </w:rPr>
        <w:t xml:space="preserve"> </w:t>
      </w:r>
      <w:hyperlink r:id="rId12" w:history="1">
        <w:r w:rsidRPr="00D27F26">
          <w:rPr>
            <w:rStyle w:val="Hyperlink"/>
            <w:rFonts w:ascii="Calibri" w:hAnsi="Calibri" w:cs="Calibri"/>
            <w:iCs/>
            <w:sz w:val="22"/>
            <w:szCs w:val="22"/>
          </w:rPr>
          <w:t>The FAQ 45</w:t>
        </w:r>
      </w:hyperlink>
      <w:r w:rsidRPr="00D27F26">
        <w:rPr>
          <w:rFonts w:ascii="Calibri" w:hAnsi="Calibri" w:cs="Calibri"/>
          <w:iCs/>
          <w:sz w:val="22"/>
          <w:szCs w:val="22"/>
        </w:rPr>
        <w:t xml:space="preserve"> (Q 2, # 4) guidance </w:t>
      </w:r>
      <w:r w:rsidR="00152217" w:rsidRPr="00D27F26">
        <w:rPr>
          <w:rFonts w:ascii="Calibri" w:hAnsi="Calibri" w:cs="Calibri"/>
          <w:iCs/>
          <w:sz w:val="22"/>
          <w:szCs w:val="22"/>
        </w:rPr>
        <w:t>stipulates that a sufficient response includes</w:t>
      </w:r>
      <w:r w:rsidRPr="00D27F26">
        <w:rPr>
          <w:rFonts w:ascii="Calibri" w:hAnsi="Calibri" w:cs="Calibri"/>
          <w:iCs/>
          <w:sz w:val="22"/>
          <w:szCs w:val="22"/>
        </w:rPr>
        <w:t xml:space="preserve">: </w:t>
      </w:r>
      <w:bookmarkEnd w:id="5"/>
    </w:p>
    <w:p w14:paraId="2B625647" w14:textId="77777777" w:rsidR="00152217" w:rsidRPr="00D27F26" w:rsidRDefault="00C45D31" w:rsidP="00025F5C">
      <w:pPr>
        <w:pStyle w:val="BodyText"/>
        <w:spacing w:before="240" w:after="240" w:line="264" w:lineRule="auto"/>
        <w:ind w:right="1381"/>
        <w:rPr>
          <w:rFonts w:ascii="Calibri" w:hAnsi="Calibri" w:cs="Calibri"/>
          <w:iCs/>
          <w:sz w:val="22"/>
          <w:szCs w:val="22"/>
        </w:rPr>
      </w:pPr>
      <w:r w:rsidRPr="00D27F26">
        <w:rPr>
          <w:rFonts w:ascii="Calibri" w:hAnsi="Calibri" w:cs="Calibri"/>
          <w:iCs/>
          <w:sz w:val="22"/>
          <w:szCs w:val="22"/>
        </w:rPr>
        <w:t>To the extent the plan or issuer defines any of the factors, evidentiary standards, strategies, or processes in a quantitative manner, it must include the precise definitions used and any supporting sources</w:t>
      </w:r>
      <w:r w:rsidR="003E72F8" w:rsidRPr="00D27F26">
        <w:rPr>
          <w:rFonts w:ascii="Calibri" w:hAnsi="Calibri" w:cs="Calibri"/>
          <w:iCs/>
          <w:sz w:val="22"/>
          <w:szCs w:val="22"/>
        </w:rPr>
        <w:t>.</w:t>
      </w:r>
      <w:r w:rsidR="00CA7545" w:rsidRPr="00D27F26">
        <w:rPr>
          <w:rFonts w:ascii="Calibri" w:hAnsi="Calibri" w:cs="Calibri"/>
          <w:iCs/>
          <w:sz w:val="22"/>
          <w:szCs w:val="22"/>
        </w:rPr>
        <w:t xml:space="preserve"> </w:t>
      </w:r>
    </w:p>
    <w:p w14:paraId="03548977" w14:textId="5EB3B526" w:rsidR="00152217" w:rsidRPr="00D27F26" w:rsidRDefault="003E72F8" w:rsidP="00025F5C">
      <w:pPr>
        <w:pStyle w:val="BodyText"/>
        <w:spacing w:before="240" w:after="240" w:line="264" w:lineRule="auto"/>
        <w:ind w:right="1381"/>
        <w:rPr>
          <w:rFonts w:ascii="Calibri" w:hAnsi="Calibri" w:cs="Calibri"/>
          <w:iCs/>
          <w:sz w:val="22"/>
          <w:szCs w:val="22"/>
        </w:rPr>
      </w:pPr>
      <w:r w:rsidRPr="00D27F26">
        <w:rPr>
          <w:rFonts w:ascii="Calibri" w:hAnsi="Calibri" w:cs="Calibri"/>
          <w:iCs/>
          <w:sz w:val="22"/>
          <w:szCs w:val="22"/>
        </w:rPr>
        <w:t>The</w:t>
      </w:r>
      <w:r w:rsidR="00152217" w:rsidRPr="00D27F26">
        <w:rPr>
          <w:rFonts w:ascii="Calibri" w:hAnsi="Calibri" w:cs="Calibri"/>
          <w:iCs/>
          <w:sz w:val="22"/>
          <w:szCs w:val="22"/>
        </w:rPr>
        <w:t xml:space="preserve"> FAQ 45</w:t>
      </w:r>
      <w:r w:rsidRPr="00D27F26">
        <w:rPr>
          <w:rFonts w:ascii="Calibri" w:hAnsi="Calibri" w:cs="Calibri"/>
          <w:iCs/>
          <w:sz w:val="22"/>
          <w:szCs w:val="22"/>
        </w:rPr>
        <w:t xml:space="preserve"> guidance </w:t>
      </w:r>
      <w:r w:rsidR="00CA7545" w:rsidRPr="00D27F26">
        <w:rPr>
          <w:rFonts w:ascii="Calibri" w:hAnsi="Calibri" w:cs="Calibri"/>
          <w:iCs/>
          <w:sz w:val="22"/>
          <w:szCs w:val="22"/>
        </w:rPr>
        <w:t>(</w:t>
      </w:r>
      <w:r w:rsidR="00C45D31" w:rsidRPr="00D27F26">
        <w:rPr>
          <w:rFonts w:ascii="Calibri" w:hAnsi="Calibri" w:cs="Calibri"/>
          <w:iCs/>
          <w:sz w:val="22"/>
          <w:szCs w:val="22"/>
        </w:rPr>
        <w:t>Q3, #5)</w:t>
      </w:r>
      <w:r w:rsidRPr="00D27F26">
        <w:rPr>
          <w:rFonts w:ascii="Calibri" w:hAnsi="Calibri" w:cs="Calibri"/>
          <w:iCs/>
          <w:sz w:val="22"/>
          <w:szCs w:val="22"/>
        </w:rPr>
        <w:t xml:space="preserve"> states that the following is insufficient:</w:t>
      </w:r>
      <w:r w:rsidR="00C45D31" w:rsidRPr="00D27F26">
        <w:rPr>
          <w:rFonts w:ascii="Calibri" w:hAnsi="Calibri" w:cs="Calibri"/>
          <w:iCs/>
          <w:sz w:val="22"/>
          <w:szCs w:val="22"/>
        </w:rPr>
        <w:t xml:space="preserve"> </w:t>
      </w:r>
    </w:p>
    <w:p w14:paraId="49A6814F" w14:textId="5C9EDF6A" w:rsidR="0012342C" w:rsidRPr="00D27F26" w:rsidRDefault="00C45D31" w:rsidP="00025F5C">
      <w:pPr>
        <w:pStyle w:val="BodyText"/>
        <w:spacing w:before="240" w:after="240" w:line="264" w:lineRule="auto"/>
        <w:ind w:right="1381"/>
        <w:rPr>
          <w:rFonts w:ascii="Calibri" w:hAnsi="Calibri" w:cs="Calibri"/>
          <w:sz w:val="22"/>
          <w:szCs w:val="22"/>
        </w:rPr>
      </w:pPr>
      <w:r w:rsidRPr="00D27F26">
        <w:rPr>
          <w:rFonts w:ascii="Calibri" w:hAnsi="Calibri" w:cs="Calibri"/>
          <w:iCs/>
          <w:sz w:val="22"/>
          <w:szCs w:val="22"/>
        </w:rPr>
        <w:t xml:space="preserve">Reference to factors and evidentiary standards that were defined or applied in a quantitative manner, </w:t>
      </w:r>
      <w:r w:rsidR="007F709E" w:rsidRPr="00D27F26">
        <w:rPr>
          <w:rFonts w:ascii="Calibri" w:hAnsi="Calibri" w:cs="Calibri"/>
          <w:iCs/>
          <w:sz w:val="22"/>
          <w:szCs w:val="22"/>
        </w:rPr>
        <w:t>without the precise definitions,</w:t>
      </w:r>
      <w:r w:rsidRPr="00D27F26">
        <w:rPr>
          <w:rFonts w:ascii="Calibri" w:hAnsi="Calibri" w:cs="Calibri"/>
          <w:iCs/>
          <w:sz w:val="22"/>
          <w:szCs w:val="22"/>
        </w:rPr>
        <w:t xml:space="preserve"> data, and information necessary to assess their development or application</w:t>
      </w:r>
      <w:r w:rsidR="005410B9" w:rsidRPr="00D27F26">
        <w:rPr>
          <w:rFonts w:ascii="Calibri" w:hAnsi="Calibri" w:cs="Calibri"/>
          <w:sz w:val="22"/>
          <w:szCs w:val="22"/>
        </w:rPr>
        <w:t>.</w:t>
      </w:r>
    </w:p>
    <w:p w14:paraId="21727398" w14:textId="38997794" w:rsidR="00CD04D9" w:rsidRPr="00D27F26" w:rsidRDefault="000C5C8A" w:rsidP="00025F5C">
      <w:pPr>
        <w:pStyle w:val="BodyText"/>
        <w:spacing w:before="240" w:after="240" w:line="264" w:lineRule="auto"/>
        <w:rPr>
          <w:rFonts w:ascii="Calibri" w:hAnsi="Calibri" w:cs="Calibri"/>
          <w:b/>
          <w:bCs/>
          <w:sz w:val="22"/>
          <w:szCs w:val="22"/>
        </w:rPr>
      </w:pPr>
      <w:r>
        <w:rPr>
          <w:rFonts w:ascii="Calibri" w:hAnsi="Calibri" w:cs="Calibri"/>
          <w:b/>
          <w:bCs/>
          <w:sz w:val="22"/>
          <w:szCs w:val="22"/>
        </w:rPr>
        <w:t xml:space="preserve">Insurer </w:t>
      </w:r>
      <w:r w:rsidR="00B73FED" w:rsidRPr="00D27F26">
        <w:rPr>
          <w:rFonts w:ascii="Calibri" w:hAnsi="Calibri" w:cs="Calibri"/>
          <w:b/>
          <w:bCs/>
          <w:sz w:val="22"/>
          <w:szCs w:val="22"/>
        </w:rPr>
        <w:t>Response: [</w:t>
      </w:r>
      <w:r w:rsidR="00B73FED" w:rsidRPr="00D27F26">
        <w:rPr>
          <w:rFonts w:ascii="Calibri" w:hAnsi="Calibri" w:cs="Calibri"/>
          <w:b/>
          <w:bCs/>
          <w:color w:val="FF0000"/>
          <w:sz w:val="22"/>
          <w:szCs w:val="22"/>
        </w:rPr>
        <w:t>Insert here</w:t>
      </w:r>
      <w:r w:rsidR="00B73FED" w:rsidRPr="00D27F26">
        <w:rPr>
          <w:rFonts w:ascii="Calibri" w:hAnsi="Calibri" w:cs="Calibri"/>
          <w:b/>
          <w:bCs/>
          <w:sz w:val="22"/>
          <w:szCs w:val="22"/>
        </w:rPr>
        <w:t>]</w:t>
      </w:r>
    </w:p>
    <w:p w14:paraId="1FF7B8DD" w14:textId="77777777" w:rsidR="0012342C" w:rsidRPr="00D27F26" w:rsidRDefault="0012342C" w:rsidP="00025F5C">
      <w:pPr>
        <w:pStyle w:val="BodyText"/>
        <w:spacing w:before="240" w:after="240" w:line="264" w:lineRule="auto"/>
        <w:ind w:right="1163"/>
        <w:rPr>
          <w:rFonts w:ascii="Calibri" w:hAnsi="Calibri" w:cs="Calibri"/>
          <w:sz w:val="22"/>
          <w:szCs w:val="22"/>
        </w:rPr>
      </w:pPr>
    </w:p>
    <w:p w14:paraId="4F4F9B86" w14:textId="77777777" w:rsidR="005410B9" w:rsidRPr="00D27F26" w:rsidRDefault="005410B9" w:rsidP="00025F5C">
      <w:pPr>
        <w:pStyle w:val="BodyText"/>
        <w:spacing w:before="240" w:after="240"/>
        <w:rPr>
          <w:rFonts w:ascii="Calibri" w:hAnsi="Calibri" w:cs="Calibri"/>
          <w:sz w:val="22"/>
          <w:szCs w:val="22"/>
        </w:rPr>
      </w:pPr>
    </w:p>
    <w:p w14:paraId="7F6B8396" w14:textId="2C97F024" w:rsidR="008C00BA" w:rsidRPr="00D27F26" w:rsidRDefault="005410B9" w:rsidP="00025F5C">
      <w:pPr>
        <w:pStyle w:val="BodyText"/>
        <w:spacing w:before="240" w:after="240" w:line="264" w:lineRule="auto"/>
        <w:ind w:right="1056"/>
        <w:rPr>
          <w:rFonts w:ascii="Calibri" w:hAnsi="Calibri" w:cs="Calibri"/>
          <w:b/>
          <w:sz w:val="22"/>
          <w:szCs w:val="22"/>
        </w:rPr>
      </w:pPr>
      <w:r w:rsidRPr="00D27F26">
        <w:rPr>
          <w:rFonts w:ascii="Calibri" w:hAnsi="Calibri" w:cs="Calibri"/>
          <w:b/>
          <w:sz w:val="22"/>
          <w:szCs w:val="22"/>
          <w:u w:val="single"/>
        </w:rPr>
        <w:lastRenderedPageBreak/>
        <w:t>Step 4:</w:t>
      </w:r>
    </w:p>
    <w:p w14:paraId="6091FD36" w14:textId="658B7E86" w:rsidR="002B10DE" w:rsidRPr="00D27F26" w:rsidRDefault="002B10DE" w:rsidP="00025F5C">
      <w:pPr>
        <w:pStyle w:val="BodyText"/>
        <w:spacing w:before="240" w:after="240" w:line="264" w:lineRule="auto"/>
        <w:ind w:right="1056"/>
        <w:rPr>
          <w:rFonts w:ascii="Calibri" w:hAnsi="Calibri" w:cs="Calibri"/>
          <w:sz w:val="22"/>
          <w:szCs w:val="22"/>
        </w:rPr>
      </w:pPr>
      <w:r w:rsidRPr="00D27F26">
        <w:rPr>
          <w:rFonts w:ascii="Calibri" w:hAnsi="Calibri" w:cs="Calibri"/>
          <w:iCs/>
          <w:sz w:val="22"/>
          <w:szCs w:val="22"/>
        </w:rPr>
        <w:t xml:space="preserve">Provide the comparative analyses demonstrating that the processes, strategies, evidentiary standards, and other factors used to apply the NQTL to </w:t>
      </w:r>
      <w:r w:rsidR="000136BA" w:rsidRPr="00D27F26">
        <w:rPr>
          <w:rFonts w:ascii="Calibri" w:hAnsi="Calibri" w:cs="Calibri"/>
          <w:iCs/>
          <w:sz w:val="22"/>
          <w:szCs w:val="22"/>
        </w:rPr>
        <w:t>mental health or substance use disorder</w:t>
      </w:r>
      <w:r w:rsidRPr="00D27F26">
        <w:rPr>
          <w:rFonts w:ascii="Calibri" w:hAnsi="Calibri" w:cs="Calibri"/>
          <w:iCs/>
          <w:sz w:val="22"/>
          <w:szCs w:val="22"/>
        </w:rPr>
        <w:t xml:space="preserve"> benefits, </w:t>
      </w:r>
      <w:r w:rsidRPr="00D27F26">
        <w:rPr>
          <w:rFonts w:ascii="Calibri" w:hAnsi="Calibri" w:cs="Calibri"/>
          <w:b/>
          <w:iCs/>
          <w:sz w:val="22"/>
          <w:szCs w:val="22"/>
        </w:rPr>
        <w:t>as written and in operation</w:t>
      </w:r>
      <w:r w:rsidRPr="00D27F26">
        <w:rPr>
          <w:rFonts w:ascii="Calibri" w:hAnsi="Calibri" w:cs="Calibri"/>
          <w:iCs/>
          <w:sz w:val="22"/>
          <w:szCs w:val="22"/>
        </w:rPr>
        <w:t>, are comparable to, and are applied no more stringently than, the processes, strategies, evidentiary standards, and other factors used to apply the NQTL to medical or surgical benefits.</w:t>
      </w:r>
    </w:p>
    <w:p w14:paraId="6D77C60F" w14:textId="3381C9F3" w:rsidR="002E1B1F" w:rsidRPr="00D27F26" w:rsidRDefault="00F52781" w:rsidP="00025F5C">
      <w:pPr>
        <w:pStyle w:val="BodyText"/>
        <w:spacing w:before="240" w:after="240" w:line="264" w:lineRule="auto"/>
        <w:ind w:right="1056"/>
        <w:rPr>
          <w:rFonts w:ascii="Calibri" w:hAnsi="Calibri" w:cs="Calibri"/>
          <w:iCs/>
          <w:sz w:val="22"/>
          <w:szCs w:val="22"/>
        </w:rPr>
      </w:pPr>
      <w:r w:rsidRPr="00D27F26">
        <w:rPr>
          <w:rFonts w:ascii="Calibri" w:hAnsi="Calibri" w:cs="Calibri"/>
          <w:b/>
          <w:iCs/>
          <w:sz w:val="22"/>
          <w:szCs w:val="22"/>
        </w:rPr>
        <w:t xml:space="preserve">FAQ 45 Guidance: </w:t>
      </w:r>
      <w:hyperlink r:id="rId13" w:history="1">
        <w:r w:rsidRPr="00D27F26">
          <w:rPr>
            <w:rStyle w:val="Hyperlink"/>
            <w:rFonts w:ascii="Calibri" w:hAnsi="Calibri" w:cs="Calibri"/>
            <w:iCs/>
            <w:sz w:val="22"/>
            <w:szCs w:val="22"/>
          </w:rPr>
          <w:t>The FAQ 45</w:t>
        </w:r>
      </w:hyperlink>
      <w:r w:rsidRPr="00D27F26">
        <w:rPr>
          <w:rFonts w:ascii="Calibri" w:hAnsi="Calibri" w:cs="Calibri"/>
          <w:iCs/>
          <w:sz w:val="22"/>
          <w:szCs w:val="22"/>
        </w:rPr>
        <w:t xml:space="preserve"> guidance states</w:t>
      </w:r>
      <w:r w:rsidR="00FA430F" w:rsidRPr="00D27F26">
        <w:rPr>
          <w:rFonts w:ascii="Calibri" w:hAnsi="Calibri" w:cs="Calibri"/>
          <w:iCs/>
          <w:sz w:val="22"/>
          <w:szCs w:val="22"/>
        </w:rPr>
        <w:t xml:space="preserve"> that the following </w:t>
      </w:r>
      <w:r w:rsidR="004B3E15" w:rsidRPr="00D27F26">
        <w:rPr>
          <w:rFonts w:ascii="Calibri" w:hAnsi="Calibri" w:cs="Calibri"/>
          <w:iCs/>
          <w:sz w:val="22"/>
          <w:szCs w:val="22"/>
        </w:rPr>
        <w:t xml:space="preserve">is necessary for a sufficient response: </w:t>
      </w:r>
    </w:p>
    <w:p w14:paraId="5A52B9CC" w14:textId="152D3F01" w:rsidR="002E1B1F" w:rsidRPr="00D27F26" w:rsidRDefault="004B3E15" w:rsidP="00025F5C">
      <w:pPr>
        <w:pStyle w:val="BodyText"/>
        <w:spacing w:before="240" w:after="240" w:line="264" w:lineRule="auto"/>
        <w:ind w:right="1056"/>
        <w:rPr>
          <w:rFonts w:ascii="Calibri" w:hAnsi="Calibri" w:cs="Calibri"/>
          <w:iCs/>
          <w:sz w:val="22"/>
          <w:szCs w:val="22"/>
        </w:rPr>
      </w:pPr>
      <w:r w:rsidRPr="00D27F26">
        <w:rPr>
          <w:rFonts w:ascii="Calibri" w:hAnsi="Calibri" w:cs="Calibri"/>
          <w:iCs/>
          <w:sz w:val="22"/>
          <w:szCs w:val="22"/>
        </w:rPr>
        <w:t xml:space="preserve">(Q2, #5) The analyses, as documented, should explain whether there is any variation in the application of a guideline or standard used by the plan or issuer between </w:t>
      </w:r>
      <w:r w:rsidR="008F3BF2" w:rsidRPr="00D27F26">
        <w:rPr>
          <w:rFonts w:ascii="Calibri" w:hAnsi="Calibri" w:cs="Calibri"/>
          <w:iCs/>
          <w:sz w:val="22"/>
          <w:szCs w:val="22"/>
        </w:rPr>
        <w:t xml:space="preserve">mental health or substance use disorder and medical or </w:t>
      </w:r>
      <w:r w:rsidRPr="00D27F26">
        <w:rPr>
          <w:rFonts w:ascii="Calibri" w:hAnsi="Calibri" w:cs="Calibri"/>
          <w:iCs/>
          <w:sz w:val="22"/>
          <w:szCs w:val="22"/>
        </w:rPr>
        <w:t>surgical benefits and, if so, describe the process and factors used for establishing that variation.</w:t>
      </w:r>
      <w:r w:rsidR="00F82B75" w:rsidRPr="00D27F26">
        <w:rPr>
          <w:rFonts w:ascii="Calibri" w:hAnsi="Calibri" w:cs="Calibri"/>
          <w:iCs/>
          <w:sz w:val="22"/>
          <w:szCs w:val="22"/>
        </w:rPr>
        <w:t xml:space="preserve"> </w:t>
      </w:r>
    </w:p>
    <w:p w14:paraId="4C6AD753" w14:textId="0FAACDD1" w:rsidR="002E1B1F" w:rsidRPr="00D27F26" w:rsidRDefault="00F82B75" w:rsidP="00025F5C">
      <w:pPr>
        <w:pStyle w:val="BodyText"/>
        <w:spacing w:before="240" w:after="240" w:line="264" w:lineRule="auto"/>
        <w:ind w:right="1056"/>
        <w:rPr>
          <w:rFonts w:ascii="Calibri" w:hAnsi="Calibri" w:cs="Calibri"/>
          <w:iCs/>
          <w:sz w:val="22"/>
          <w:szCs w:val="22"/>
        </w:rPr>
      </w:pPr>
      <w:r w:rsidRPr="00D27F26">
        <w:rPr>
          <w:rFonts w:ascii="Calibri" w:hAnsi="Calibri" w:cs="Calibri"/>
          <w:iCs/>
          <w:sz w:val="22"/>
          <w:szCs w:val="22"/>
        </w:rPr>
        <w:t>(Q2, #6) If the application of the NQTL turns on specific decisions in administration of the benefits, the plan or issuer should identify the nature of the decisions, the decision maker(s), the timing of the decisions, and the qualifications of the decision maker(s).</w:t>
      </w:r>
      <w:r w:rsidR="00F2268C" w:rsidRPr="00D27F26">
        <w:rPr>
          <w:rFonts w:ascii="Calibri" w:hAnsi="Calibri" w:cs="Calibri"/>
          <w:iCs/>
          <w:sz w:val="22"/>
          <w:szCs w:val="22"/>
        </w:rPr>
        <w:t xml:space="preserve"> </w:t>
      </w:r>
    </w:p>
    <w:p w14:paraId="3C13E3CF" w14:textId="054C3754" w:rsidR="00F2268C" w:rsidRPr="00D27F26" w:rsidRDefault="00F2268C" w:rsidP="00025F5C">
      <w:pPr>
        <w:pStyle w:val="BodyText"/>
        <w:spacing w:before="240" w:after="240" w:line="264" w:lineRule="auto"/>
        <w:ind w:right="1056"/>
        <w:rPr>
          <w:rFonts w:ascii="Calibri" w:hAnsi="Calibri" w:cs="Calibri"/>
          <w:iCs/>
          <w:sz w:val="22"/>
          <w:szCs w:val="22"/>
        </w:rPr>
      </w:pPr>
      <w:r w:rsidRPr="00D27F26">
        <w:rPr>
          <w:rFonts w:ascii="Calibri" w:hAnsi="Calibri" w:cs="Calibri"/>
          <w:iCs/>
          <w:sz w:val="22"/>
          <w:szCs w:val="22"/>
        </w:rPr>
        <w:t xml:space="preserve">(Q2, #7) If the plan’s or issuer’s analyses rely upon any experts, the analyses, as documented, should include an assessment of each expert’s qualifications and the extent to which the plan or issuer ultimately relied upon each expert’s evaluations in setting recommendations regarding both </w:t>
      </w:r>
      <w:r w:rsidR="008F3BF2" w:rsidRPr="00D27F26">
        <w:rPr>
          <w:rFonts w:ascii="Calibri" w:hAnsi="Calibri" w:cs="Calibri"/>
          <w:iCs/>
          <w:sz w:val="22"/>
          <w:szCs w:val="22"/>
        </w:rPr>
        <w:t xml:space="preserve">mental health or substance use disorder and medical or </w:t>
      </w:r>
      <w:r w:rsidRPr="00D27F26">
        <w:rPr>
          <w:rFonts w:ascii="Calibri" w:hAnsi="Calibri" w:cs="Calibri"/>
          <w:iCs/>
          <w:sz w:val="22"/>
          <w:szCs w:val="22"/>
        </w:rPr>
        <w:t>surgical benefits</w:t>
      </w:r>
      <w:r w:rsidRPr="00D27F26">
        <w:rPr>
          <w:rFonts w:ascii="Calibri" w:hAnsi="Calibri" w:cs="Calibri"/>
          <w:sz w:val="22"/>
          <w:szCs w:val="22"/>
        </w:rPr>
        <w:t>.</w:t>
      </w:r>
    </w:p>
    <w:p w14:paraId="5B44426C" w14:textId="57F33E3F" w:rsidR="002E1B1F" w:rsidRPr="00D27F26" w:rsidRDefault="00F2268C" w:rsidP="00025F5C">
      <w:pPr>
        <w:pStyle w:val="BodyText"/>
        <w:spacing w:before="240" w:after="240" w:line="264" w:lineRule="auto"/>
        <w:ind w:right="1056"/>
        <w:rPr>
          <w:rFonts w:ascii="Calibri" w:hAnsi="Calibri" w:cs="Calibri"/>
          <w:iCs/>
          <w:sz w:val="22"/>
          <w:szCs w:val="22"/>
        </w:rPr>
      </w:pPr>
      <w:r w:rsidRPr="00D27F26">
        <w:rPr>
          <w:rFonts w:ascii="Calibri" w:hAnsi="Calibri" w:cs="Calibri"/>
          <w:iCs/>
          <w:sz w:val="22"/>
          <w:szCs w:val="22"/>
        </w:rPr>
        <w:t xml:space="preserve">The FAQ 45 guidance states that the following constitutes an insufficient response: </w:t>
      </w:r>
    </w:p>
    <w:p w14:paraId="2BA54F43" w14:textId="3859D250" w:rsidR="002E1B1F" w:rsidRPr="00D27F26" w:rsidRDefault="00F2268C" w:rsidP="00025F5C">
      <w:pPr>
        <w:pStyle w:val="BodyText"/>
        <w:spacing w:before="240" w:after="240" w:line="264" w:lineRule="auto"/>
        <w:ind w:right="1056"/>
        <w:rPr>
          <w:rFonts w:ascii="Calibri" w:hAnsi="Calibri" w:cs="Calibri"/>
          <w:iCs/>
          <w:sz w:val="22"/>
          <w:szCs w:val="22"/>
        </w:rPr>
      </w:pPr>
      <w:r w:rsidRPr="00D27F26">
        <w:rPr>
          <w:rFonts w:ascii="Calibri" w:hAnsi="Calibri" w:cs="Calibri"/>
          <w:iCs/>
          <w:sz w:val="22"/>
          <w:szCs w:val="22"/>
        </w:rPr>
        <w:t xml:space="preserve">(Q3, #1) Production of a large volume of documents without a clear explanation of how and why each document is relevant to the comparative analysis. </w:t>
      </w:r>
    </w:p>
    <w:p w14:paraId="4D22B059" w14:textId="5EEDD692" w:rsidR="002E1B1F" w:rsidRPr="00D27F26" w:rsidRDefault="00F2268C" w:rsidP="00025F5C">
      <w:pPr>
        <w:pStyle w:val="BodyText"/>
        <w:spacing w:before="240" w:after="240" w:line="264" w:lineRule="auto"/>
        <w:ind w:right="1056"/>
        <w:rPr>
          <w:rFonts w:ascii="Calibri" w:hAnsi="Calibri" w:cs="Calibri"/>
          <w:iCs/>
          <w:sz w:val="22"/>
          <w:szCs w:val="22"/>
        </w:rPr>
      </w:pPr>
      <w:r w:rsidRPr="00D27F26">
        <w:rPr>
          <w:rFonts w:ascii="Calibri" w:hAnsi="Calibri" w:cs="Calibri"/>
          <w:iCs/>
          <w:sz w:val="22"/>
          <w:szCs w:val="22"/>
        </w:rPr>
        <w:t xml:space="preserve">(Q3, #2) Conclusory or generalized statements, including mere recitations of the legal standard, without specific supporting evidence and detailed explanations. </w:t>
      </w:r>
    </w:p>
    <w:p w14:paraId="1E3C29B0" w14:textId="2DE4AE5D" w:rsidR="002E1B1F" w:rsidRPr="00D27F26" w:rsidRDefault="00F2268C" w:rsidP="00025F5C">
      <w:pPr>
        <w:pStyle w:val="BodyText"/>
        <w:spacing w:before="240" w:after="240" w:line="264" w:lineRule="auto"/>
        <w:ind w:right="1056"/>
        <w:rPr>
          <w:rFonts w:ascii="Calibri" w:hAnsi="Calibri" w:cs="Calibri"/>
          <w:iCs/>
          <w:sz w:val="22"/>
          <w:szCs w:val="22"/>
        </w:rPr>
      </w:pPr>
      <w:r w:rsidRPr="00D27F26">
        <w:rPr>
          <w:rFonts w:ascii="Calibri" w:hAnsi="Calibri" w:cs="Calibri"/>
          <w:iCs/>
          <w:sz w:val="22"/>
          <w:szCs w:val="22"/>
        </w:rPr>
        <w:t xml:space="preserve">(Q3, #3) Identification of processes, strategies, sources, and factors without the required or clear and detailed comparative analysis. </w:t>
      </w:r>
    </w:p>
    <w:p w14:paraId="402008E7" w14:textId="3901F1FD" w:rsidR="005410B9" w:rsidRPr="00D27F26" w:rsidRDefault="00F52781" w:rsidP="00025F5C">
      <w:pPr>
        <w:pStyle w:val="BodyText"/>
        <w:spacing w:before="240" w:after="240" w:line="264" w:lineRule="auto"/>
        <w:ind w:right="1056"/>
        <w:rPr>
          <w:rFonts w:ascii="Calibri" w:hAnsi="Calibri" w:cs="Calibri"/>
          <w:sz w:val="22"/>
          <w:szCs w:val="22"/>
        </w:rPr>
      </w:pPr>
      <w:r w:rsidRPr="00D27F26">
        <w:rPr>
          <w:rFonts w:ascii="Calibri" w:hAnsi="Calibri" w:cs="Calibri"/>
          <w:iCs/>
          <w:sz w:val="22"/>
          <w:szCs w:val="22"/>
        </w:rPr>
        <w:t>(Q 3, #4) Identification of factors, evidentiary standards, and strategies without a clear explanation of how they were defined and applied in practice.</w:t>
      </w:r>
    </w:p>
    <w:p w14:paraId="6EFDA384" w14:textId="0676432B" w:rsidR="00B73FED" w:rsidRPr="00D27F26" w:rsidRDefault="000C5C8A" w:rsidP="00025F5C">
      <w:pPr>
        <w:pStyle w:val="BodyText"/>
        <w:spacing w:before="240" w:after="240" w:line="264" w:lineRule="auto"/>
        <w:rPr>
          <w:rFonts w:ascii="Calibri" w:hAnsi="Calibri" w:cs="Calibri"/>
          <w:b/>
          <w:bCs/>
          <w:sz w:val="22"/>
          <w:szCs w:val="22"/>
        </w:rPr>
      </w:pPr>
      <w:r>
        <w:rPr>
          <w:rFonts w:ascii="Calibri" w:hAnsi="Calibri" w:cs="Calibri"/>
          <w:b/>
          <w:bCs/>
          <w:sz w:val="22"/>
          <w:szCs w:val="22"/>
        </w:rPr>
        <w:t xml:space="preserve">Insurer </w:t>
      </w:r>
      <w:r w:rsidR="00B73FED" w:rsidRPr="00D27F26">
        <w:rPr>
          <w:rFonts w:ascii="Calibri" w:hAnsi="Calibri" w:cs="Calibri"/>
          <w:b/>
          <w:bCs/>
          <w:sz w:val="22"/>
          <w:szCs w:val="22"/>
        </w:rPr>
        <w:t>Response – As Written: [</w:t>
      </w:r>
      <w:r w:rsidR="00B73FED" w:rsidRPr="00D27F26">
        <w:rPr>
          <w:rFonts w:ascii="Calibri" w:hAnsi="Calibri" w:cs="Calibri"/>
          <w:b/>
          <w:bCs/>
          <w:color w:val="FF0000"/>
          <w:sz w:val="22"/>
          <w:szCs w:val="22"/>
        </w:rPr>
        <w:t>Insert here</w:t>
      </w:r>
      <w:r w:rsidR="00B73FED" w:rsidRPr="00D27F26">
        <w:rPr>
          <w:rFonts w:ascii="Calibri" w:hAnsi="Calibri" w:cs="Calibri"/>
          <w:b/>
          <w:bCs/>
          <w:sz w:val="22"/>
          <w:szCs w:val="22"/>
        </w:rPr>
        <w:t>]</w:t>
      </w:r>
    </w:p>
    <w:p w14:paraId="210F7646" w14:textId="77777777" w:rsidR="00B73FED" w:rsidRPr="00D27F26" w:rsidRDefault="00B73FED" w:rsidP="00025F5C">
      <w:pPr>
        <w:pStyle w:val="BodyText"/>
        <w:spacing w:before="240" w:after="240" w:line="264" w:lineRule="auto"/>
        <w:rPr>
          <w:rFonts w:ascii="Calibri" w:hAnsi="Calibri" w:cs="Calibri"/>
          <w:b/>
          <w:bCs/>
          <w:sz w:val="22"/>
          <w:szCs w:val="22"/>
        </w:rPr>
      </w:pPr>
    </w:p>
    <w:p w14:paraId="149A4AA9" w14:textId="37D79587" w:rsidR="00B73FED" w:rsidRPr="00D27F26" w:rsidRDefault="000C5C8A" w:rsidP="00025F5C">
      <w:pPr>
        <w:pStyle w:val="BodyText"/>
        <w:spacing w:before="240" w:after="240" w:line="264" w:lineRule="auto"/>
        <w:rPr>
          <w:rFonts w:ascii="Calibri" w:hAnsi="Calibri" w:cs="Calibri"/>
          <w:b/>
          <w:bCs/>
          <w:sz w:val="22"/>
          <w:szCs w:val="22"/>
        </w:rPr>
      </w:pPr>
      <w:r>
        <w:rPr>
          <w:rFonts w:ascii="Calibri" w:hAnsi="Calibri" w:cs="Calibri"/>
          <w:b/>
          <w:bCs/>
          <w:sz w:val="22"/>
          <w:szCs w:val="22"/>
        </w:rPr>
        <w:lastRenderedPageBreak/>
        <w:t xml:space="preserve">Insurer </w:t>
      </w:r>
      <w:r w:rsidR="00B73FED" w:rsidRPr="00D27F26">
        <w:rPr>
          <w:rFonts w:ascii="Calibri" w:hAnsi="Calibri" w:cs="Calibri"/>
          <w:b/>
          <w:bCs/>
          <w:sz w:val="22"/>
          <w:szCs w:val="22"/>
        </w:rPr>
        <w:t>Response – In Operation: [</w:t>
      </w:r>
      <w:r w:rsidR="00B73FED" w:rsidRPr="00D27F26">
        <w:rPr>
          <w:rFonts w:ascii="Calibri" w:hAnsi="Calibri" w:cs="Calibri"/>
          <w:b/>
          <w:bCs/>
          <w:color w:val="FF0000"/>
          <w:sz w:val="22"/>
          <w:szCs w:val="22"/>
        </w:rPr>
        <w:t>Insert here</w:t>
      </w:r>
      <w:r w:rsidR="00B73FED" w:rsidRPr="00D27F26">
        <w:rPr>
          <w:rFonts w:ascii="Calibri" w:hAnsi="Calibri" w:cs="Calibri"/>
          <w:b/>
          <w:bCs/>
          <w:sz w:val="22"/>
          <w:szCs w:val="22"/>
        </w:rPr>
        <w:t>]</w:t>
      </w:r>
    </w:p>
    <w:p w14:paraId="43CF0A57" w14:textId="77777777" w:rsidR="0012342C" w:rsidRPr="00D27F26" w:rsidRDefault="0012342C" w:rsidP="00025F5C">
      <w:pPr>
        <w:pStyle w:val="BodyText"/>
        <w:spacing w:before="240" w:after="240" w:line="264" w:lineRule="auto"/>
        <w:ind w:right="1056"/>
        <w:rPr>
          <w:rFonts w:ascii="Calibri" w:hAnsi="Calibri" w:cs="Calibri"/>
          <w:sz w:val="22"/>
          <w:szCs w:val="22"/>
        </w:rPr>
      </w:pPr>
    </w:p>
    <w:p w14:paraId="6AF7710F" w14:textId="77777777" w:rsidR="005410B9" w:rsidRPr="00D27F26" w:rsidRDefault="005410B9" w:rsidP="00025F5C">
      <w:pPr>
        <w:pStyle w:val="BodyText"/>
        <w:spacing w:before="240" w:after="240"/>
        <w:rPr>
          <w:rFonts w:ascii="Calibri" w:hAnsi="Calibri" w:cs="Calibri"/>
          <w:sz w:val="22"/>
          <w:szCs w:val="22"/>
        </w:rPr>
      </w:pPr>
    </w:p>
    <w:p w14:paraId="41FCD2CE" w14:textId="64903FD8" w:rsidR="008C00BA" w:rsidRPr="00D27F26" w:rsidRDefault="005410B9" w:rsidP="00025F5C">
      <w:pPr>
        <w:pStyle w:val="BodyText"/>
        <w:spacing w:before="240" w:after="240" w:line="264" w:lineRule="auto"/>
        <w:ind w:right="1220"/>
        <w:rPr>
          <w:rFonts w:ascii="Calibri" w:hAnsi="Calibri" w:cs="Calibri"/>
          <w:b/>
          <w:sz w:val="22"/>
          <w:szCs w:val="22"/>
          <w:u w:val="single"/>
        </w:rPr>
      </w:pPr>
      <w:r w:rsidRPr="00D27F26">
        <w:rPr>
          <w:rFonts w:ascii="Calibri" w:hAnsi="Calibri" w:cs="Calibri"/>
          <w:b/>
          <w:sz w:val="22"/>
          <w:szCs w:val="22"/>
          <w:u w:val="single"/>
        </w:rPr>
        <w:t xml:space="preserve">Step 5: </w:t>
      </w:r>
    </w:p>
    <w:p w14:paraId="33E3A4E8" w14:textId="31E1BFDC" w:rsidR="005410B9" w:rsidRPr="00D27F26" w:rsidRDefault="008C78D6" w:rsidP="00025F5C">
      <w:pPr>
        <w:pStyle w:val="BodyText"/>
        <w:spacing w:before="240" w:after="240" w:line="264" w:lineRule="auto"/>
        <w:ind w:right="1220"/>
        <w:rPr>
          <w:rFonts w:ascii="Calibri" w:hAnsi="Calibri" w:cs="Calibri"/>
          <w:b/>
          <w:sz w:val="22"/>
          <w:szCs w:val="22"/>
        </w:rPr>
      </w:pPr>
      <w:r w:rsidRPr="00D27F26">
        <w:rPr>
          <w:rFonts w:ascii="Calibri" w:hAnsi="Calibri" w:cs="Calibri"/>
          <w:iCs/>
          <w:sz w:val="22"/>
          <w:szCs w:val="22"/>
        </w:rPr>
        <w:t xml:space="preserve">The specific findings and conclusions reached by the </w:t>
      </w:r>
      <w:r w:rsidR="004A6E59">
        <w:rPr>
          <w:rFonts w:ascii="Calibri" w:hAnsi="Calibri" w:cs="Calibri"/>
          <w:iCs/>
          <w:sz w:val="22"/>
          <w:szCs w:val="22"/>
        </w:rPr>
        <w:t xml:space="preserve">insurer </w:t>
      </w:r>
      <w:r w:rsidRPr="00D27F26">
        <w:rPr>
          <w:rFonts w:ascii="Calibri" w:hAnsi="Calibri" w:cs="Calibri"/>
          <w:iCs/>
          <w:sz w:val="22"/>
          <w:szCs w:val="22"/>
        </w:rPr>
        <w:t>with respect to the health insurance coverage, including any results of the analyses described in the previous steps</w:t>
      </w:r>
      <w:r w:rsidR="00B34B02" w:rsidRPr="00D27F26">
        <w:rPr>
          <w:rFonts w:ascii="Calibri" w:hAnsi="Calibri" w:cs="Calibri"/>
          <w:iCs/>
          <w:sz w:val="22"/>
          <w:szCs w:val="22"/>
        </w:rPr>
        <w:t xml:space="preserve"> </w:t>
      </w:r>
      <w:r w:rsidR="004A6E59">
        <w:rPr>
          <w:rFonts w:ascii="Calibri" w:hAnsi="Calibri" w:cs="Calibri"/>
          <w:iCs/>
          <w:sz w:val="22"/>
          <w:szCs w:val="22"/>
        </w:rPr>
        <w:t xml:space="preserve">indicating that the insurer </w:t>
      </w:r>
      <w:r w:rsidRPr="00D27F26">
        <w:rPr>
          <w:rFonts w:ascii="Calibri" w:hAnsi="Calibri" w:cs="Calibri"/>
          <w:iCs/>
          <w:sz w:val="22"/>
          <w:szCs w:val="22"/>
        </w:rPr>
        <w:t>is or is not in compliance with the MHPAEA</w:t>
      </w:r>
      <w:r w:rsidR="004A6E59">
        <w:rPr>
          <w:rFonts w:ascii="Calibri" w:hAnsi="Calibri" w:cs="Calibri"/>
          <w:iCs/>
          <w:sz w:val="22"/>
          <w:szCs w:val="22"/>
        </w:rPr>
        <w:t>’s</w:t>
      </w:r>
      <w:r w:rsidR="003612C3" w:rsidRPr="00D27F26">
        <w:rPr>
          <w:rFonts w:ascii="Calibri" w:hAnsi="Calibri" w:cs="Calibri"/>
          <w:iCs/>
          <w:sz w:val="22"/>
          <w:szCs w:val="22"/>
        </w:rPr>
        <w:t xml:space="preserve"> NQTL</w:t>
      </w:r>
      <w:r w:rsidRPr="00D27F26">
        <w:rPr>
          <w:rFonts w:ascii="Calibri" w:hAnsi="Calibri" w:cs="Calibri"/>
          <w:iCs/>
          <w:sz w:val="22"/>
          <w:szCs w:val="22"/>
        </w:rPr>
        <w:t xml:space="preserve"> requirements.</w:t>
      </w:r>
    </w:p>
    <w:p w14:paraId="51E10D03" w14:textId="3C8A2DDE" w:rsidR="00B1775F" w:rsidRPr="00D27F26" w:rsidRDefault="008454CE" w:rsidP="00025F5C">
      <w:pPr>
        <w:pStyle w:val="BodyText"/>
        <w:spacing w:before="240" w:after="240" w:line="264" w:lineRule="auto"/>
        <w:ind w:right="1220"/>
        <w:rPr>
          <w:rFonts w:ascii="Calibri" w:hAnsi="Calibri" w:cs="Calibri"/>
          <w:iCs/>
          <w:sz w:val="22"/>
          <w:szCs w:val="22"/>
        </w:rPr>
      </w:pPr>
      <w:r w:rsidRPr="00D27F26">
        <w:rPr>
          <w:rFonts w:ascii="Calibri" w:hAnsi="Calibri" w:cs="Calibri"/>
          <w:b/>
          <w:iCs/>
          <w:sz w:val="22"/>
          <w:szCs w:val="22"/>
        </w:rPr>
        <w:t xml:space="preserve">FAQ 45 Guidance: </w:t>
      </w:r>
      <w:hyperlink r:id="rId14" w:history="1">
        <w:r w:rsidRPr="00D27F26">
          <w:rPr>
            <w:rStyle w:val="Hyperlink"/>
            <w:rFonts w:ascii="Calibri" w:hAnsi="Calibri" w:cs="Calibri"/>
            <w:iCs/>
            <w:sz w:val="22"/>
            <w:szCs w:val="22"/>
          </w:rPr>
          <w:t>The FAQ 45</w:t>
        </w:r>
      </w:hyperlink>
      <w:r w:rsidRPr="00D27F26">
        <w:rPr>
          <w:rFonts w:ascii="Calibri" w:hAnsi="Calibri" w:cs="Calibri"/>
          <w:iCs/>
          <w:sz w:val="22"/>
          <w:szCs w:val="22"/>
        </w:rPr>
        <w:t xml:space="preserve"> guidance states</w:t>
      </w:r>
      <w:r w:rsidR="00B5100C" w:rsidRPr="00D27F26">
        <w:rPr>
          <w:rFonts w:ascii="Calibri" w:hAnsi="Calibri" w:cs="Calibri"/>
          <w:iCs/>
          <w:sz w:val="22"/>
          <w:szCs w:val="22"/>
        </w:rPr>
        <w:t xml:space="preserve"> that a sufficient response include</w:t>
      </w:r>
      <w:r w:rsidR="004A6E59">
        <w:rPr>
          <w:rFonts w:ascii="Calibri" w:hAnsi="Calibri" w:cs="Calibri"/>
          <w:iCs/>
          <w:sz w:val="22"/>
          <w:szCs w:val="22"/>
        </w:rPr>
        <w:t>s</w:t>
      </w:r>
      <w:r w:rsidRPr="00D27F26">
        <w:rPr>
          <w:rFonts w:ascii="Calibri" w:hAnsi="Calibri" w:cs="Calibri"/>
          <w:iCs/>
          <w:sz w:val="22"/>
          <w:szCs w:val="22"/>
        </w:rPr>
        <w:t xml:space="preserve">: </w:t>
      </w:r>
    </w:p>
    <w:p w14:paraId="2C24F6F4" w14:textId="727AE309" w:rsidR="00B5100C" w:rsidRPr="00D27F26" w:rsidRDefault="008454CE" w:rsidP="00025F5C">
      <w:pPr>
        <w:pStyle w:val="BodyText"/>
        <w:spacing w:before="240" w:after="240" w:line="264" w:lineRule="auto"/>
        <w:ind w:right="1220"/>
        <w:rPr>
          <w:rFonts w:ascii="Calibri" w:hAnsi="Calibri" w:cs="Calibri"/>
          <w:iCs/>
          <w:sz w:val="22"/>
          <w:szCs w:val="22"/>
        </w:rPr>
      </w:pPr>
      <w:r w:rsidRPr="00D27F26">
        <w:rPr>
          <w:rFonts w:ascii="Calibri" w:hAnsi="Calibri" w:cs="Calibri"/>
          <w:iCs/>
          <w:sz w:val="22"/>
          <w:szCs w:val="22"/>
        </w:rPr>
        <w:t xml:space="preserve">(Q2, #8) A reasoned discussion of the plan’s or issuer’s findings and conclusions as to the comparability of the processes, strategies, evidentiary standards, factors, and sources identified above within each affected classification, and their relative stringency, both as applied and as written. This discussion should include citations to any specific evidence considered and any results of analyses indicating that the plan or coverage is or is not in compliance with MHPAEA. </w:t>
      </w:r>
    </w:p>
    <w:p w14:paraId="0F36E37E" w14:textId="77777777" w:rsidR="00B1775F" w:rsidRPr="00D27F26" w:rsidRDefault="00B5100C" w:rsidP="00025F5C">
      <w:pPr>
        <w:pStyle w:val="BodyText"/>
        <w:spacing w:before="240" w:after="240" w:line="264" w:lineRule="auto"/>
        <w:ind w:right="1220"/>
        <w:rPr>
          <w:rFonts w:ascii="Calibri" w:hAnsi="Calibri" w:cs="Calibri"/>
          <w:iCs/>
          <w:sz w:val="22"/>
          <w:szCs w:val="22"/>
        </w:rPr>
      </w:pPr>
      <w:r w:rsidRPr="00D27F26">
        <w:rPr>
          <w:rFonts w:ascii="Calibri" w:hAnsi="Calibri" w:cs="Calibri"/>
          <w:iCs/>
          <w:sz w:val="22"/>
          <w:szCs w:val="22"/>
        </w:rPr>
        <w:t xml:space="preserve">The FAQ 45 guidance states that the following constitutes an insufficient response: </w:t>
      </w:r>
    </w:p>
    <w:p w14:paraId="3F3A1B58" w14:textId="087670F4" w:rsidR="005410B9" w:rsidRPr="00D27F26" w:rsidRDefault="008454CE" w:rsidP="00025F5C">
      <w:pPr>
        <w:pStyle w:val="BodyText"/>
        <w:spacing w:before="240" w:after="240" w:line="264" w:lineRule="auto"/>
        <w:ind w:right="1220"/>
        <w:rPr>
          <w:rFonts w:ascii="Calibri" w:hAnsi="Calibri" w:cs="Calibri"/>
          <w:sz w:val="22"/>
          <w:szCs w:val="22"/>
        </w:rPr>
      </w:pPr>
      <w:r w:rsidRPr="00D27F26">
        <w:rPr>
          <w:rFonts w:ascii="Calibri" w:hAnsi="Calibri" w:cs="Calibri"/>
          <w:iCs/>
          <w:sz w:val="22"/>
          <w:szCs w:val="22"/>
        </w:rPr>
        <w:t>(Q3, #2) Conclusory or generalized statements, including mere recitations of the legal standard, without specific supporting evidence and detailed explanations</w:t>
      </w:r>
      <w:r w:rsidR="005410B9" w:rsidRPr="00D27F26">
        <w:rPr>
          <w:rFonts w:ascii="Calibri" w:hAnsi="Calibri" w:cs="Calibri"/>
          <w:sz w:val="22"/>
          <w:szCs w:val="22"/>
        </w:rPr>
        <w:t>.</w:t>
      </w:r>
    </w:p>
    <w:p w14:paraId="3AE92782" w14:textId="08B2F35F" w:rsidR="00683AFD" w:rsidRPr="00D27F26" w:rsidRDefault="004A6E59" w:rsidP="00025F5C">
      <w:pPr>
        <w:pStyle w:val="BodyText"/>
        <w:spacing w:before="240" w:after="240" w:line="264" w:lineRule="auto"/>
        <w:rPr>
          <w:rFonts w:ascii="Calibri" w:hAnsi="Calibri" w:cs="Calibri"/>
          <w:b/>
          <w:bCs/>
          <w:sz w:val="22"/>
          <w:szCs w:val="22"/>
        </w:rPr>
      </w:pPr>
      <w:r>
        <w:rPr>
          <w:rFonts w:ascii="Calibri" w:hAnsi="Calibri" w:cs="Calibri"/>
          <w:b/>
          <w:bCs/>
          <w:sz w:val="22"/>
          <w:szCs w:val="22"/>
        </w:rPr>
        <w:t xml:space="preserve">Insurer </w:t>
      </w:r>
      <w:r w:rsidR="00B73FED" w:rsidRPr="00D27F26">
        <w:rPr>
          <w:rFonts w:ascii="Calibri" w:hAnsi="Calibri" w:cs="Calibri"/>
          <w:b/>
          <w:bCs/>
          <w:sz w:val="22"/>
          <w:szCs w:val="22"/>
        </w:rPr>
        <w:t>Conclusion: [</w:t>
      </w:r>
      <w:r w:rsidR="00B73FED" w:rsidRPr="00D27F26">
        <w:rPr>
          <w:rFonts w:ascii="Calibri" w:hAnsi="Calibri" w:cs="Calibri"/>
          <w:b/>
          <w:bCs/>
          <w:color w:val="FF0000"/>
          <w:sz w:val="22"/>
          <w:szCs w:val="22"/>
        </w:rPr>
        <w:t>Insert here</w:t>
      </w:r>
      <w:r w:rsidR="00B73FED" w:rsidRPr="00D27F26">
        <w:rPr>
          <w:rFonts w:ascii="Calibri" w:hAnsi="Calibri" w:cs="Calibri"/>
          <w:b/>
          <w:bCs/>
          <w:sz w:val="22"/>
          <w:szCs w:val="22"/>
        </w:rPr>
        <w:t>]</w:t>
      </w:r>
    </w:p>
    <w:sectPr w:rsidR="00683AFD" w:rsidRPr="00D27F26" w:rsidSect="00202113">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1177A" w14:textId="77777777" w:rsidR="00220AAD" w:rsidRDefault="00220AAD" w:rsidP="00C62CC4">
      <w:r>
        <w:separator/>
      </w:r>
    </w:p>
  </w:endnote>
  <w:endnote w:type="continuationSeparator" w:id="0">
    <w:p w14:paraId="13CB736A" w14:textId="77777777" w:rsidR="00220AAD" w:rsidRDefault="00220AAD" w:rsidP="00C6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737721"/>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2922AC0D" w14:textId="77777777" w:rsidR="00C35A8D" w:rsidRDefault="006B3C6B" w:rsidP="006B3C6B">
            <w:pPr>
              <w:pStyle w:val="zzTrailerDocName"/>
            </w:pPr>
            <w:r>
              <w:t>#1416683.</w:t>
            </w:r>
            <w:r w:rsidRPr="006B3C6B">
              <w:t>1</w:t>
            </w:r>
            <w:r>
              <w:t xml:space="preserve"> </w:t>
            </w:r>
          </w:p>
          <w:p w14:paraId="5E9791C4" w14:textId="63A41767" w:rsidR="00D140E8" w:rsidRPr="00C35A8D" w:rsidRDefault="00D140E8" w:rsidP="00C35A8D">
            <w:pPr>
              <w:pStyle w:val="zzTrailerDocName"/>
              <w:jc w:val="center"/>
              <w:rPr>
                <w:sz w:val="22"/>
                <w:szCs w:val="22"/>
              </w:rPr>
            </w:pPr>
            <w:r w:rsidRPr="00C35A8D">
              <w:rPr>
                <w:sz w:val="22"/>
                <w:szCs w:val="22"/>
              </w:rPr>
              <w:t xml:space="preserve">Page </w:t>
            </w:r>
            <w:r w:rsidRPr="00C35A8D">
              <w:rPr>
                <w:sz w:val="22"/>
                <w:szCs w:val="22"/>
              </w:rPr>
              <w:fldChar w:fldCharType="begin"/>
            </w:r>
            <w:r w:rsidRPr="00C35A8D">
              <w:rPr>
                <w:sz w:val="22"/>
                <w:szCs w:val="22"/>
              </w:rPr>
              <w:instrText xml:space="preserve"> PAGE </w:instrText>
            </w:r>
            <w:r w:rsidRPr="00C35A8D">
              <w:rPr>
                <w:sz w:val="22"/>
                <w:szCs w:val="22"/>
              </w:rPr>
              <w:fldChar w:fldCharType="separate"/>
            </w:r>
            <w:r w:rsidRPr="00C35A8D">
              <w:rPr>
                <w:sz w:val="22"/>
                <w:szCs w:val="22"/>
              </w:rPr>
              <w:t>2</w:t>
            </w:r>
            <w:r w:rsidRPr="00C35A8D">
              <w:rPr>
                <w:sz w:val="22"/>
                <w:szCs w:val="22"/>
              </w:rPr>
              <w:fldChar w:fldCharType="end"/>
            </w:r>
            <w:r w:rsidRPr="00C35A8D">
              <w:rPr>
                <w:sz w:val="22"/>
                <w:szCs w:val="22"/>
              </w:rPr>
              <w:t xml:space="preserve"> of </w:t>
            </w:r>
            <w:r w:rsidRPr="00C35A8D">
              <w:rPr>
                <w:sz w:val="22"/>
                <w:szCs w:val="22"/>
              </w:rPr>
              <w:fldChar w:fldCharType="begin"/>
            </w:r>
            <w:r w:rsidRPr="00C35A8D">
              <w:rPr>
                <w:sz w:val="22"/>
                <w:szCs w:val="22"/>
              </w:rPr>
              <w:instrText xml:space="preserve"> NUMPAGES  </w:instrText>
            </w:r>
            <w:r w:rsidRPr="00C35A8D">
              <w:rPr>
                <w:sz w:val="22"/>
                <w:szCs w:val="22"/>
              </w:rPr>
              <w:fldChar w:fldCharType="separate"/>
            </w:r>
            <w:r w:rsidRPr="00C35A8D">
              <w:rPr>
                <w:sz w:val="22"/>
                <w:szCs w:val="22"/>
              </w:rPr>
              <w:t>2</w:t>
            </w:r>
            <w:r w:rsidRPr="00C35A8D">
              <w:rPr>
                <w:sz w:val="22"/>
                <w:szCs w:val="22"/>
              </w:rPr>
              <w:fldChar w:fldCharType="end"/>
            </w:r>
          </w:p>
        </w:sdtContent>
      </w:sdt>
    </w:sdtContent>
  </w:sdt>
  <w:p w14:paraId="0AB411EF" w14:textId="77777777" w:rsidR="00D140E8" w:rsidRDefault="00D14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94F29" w14:textId="77777777" w:rsidR="00220AAD" w:rsidRDefault="00220AAD" w:rsidP="00C62CC4">
      <w:r>
        <w:separator/>
      </w:r>
    </w:p>
  </w:footnote>
  <w:footnote w:type="continuationSeparator" w:id="0">
    <w:p w14:paraId="066D1D56" w14:textId="77777777" w:rsidR="00220AAD" w:rsidRDefault="00220AAD" w:rsidP="00C6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16F1" w14:textId="6A62216A" w:rsidR="004A6E59" w:rsidRPr="00147986" w:rsidRDefault="00147986" w:rsidP="00025F5C">
    <w:pPr>
      <w:widowControl/>
      <w:tabs>
        <w:tab w:val="right" w:pos="12960"/>
      </w:tabs>
      <w:autoSpaceDE/>
      <w:autoSpaceDN/>
      <w:jc w:val="right"/>
      <w:rPr>
        <w:rFonts w:ascii="Calibri" w:eastAsia="Times New Roman" w:hAnsi="Calibri" w:cs="Times New Roman"/>
        <w:b/>
        <w:sz w:val="20"/>
        <w:szCs w:val="20"/>
        <w:lang w:bidi="ar-SA"/>
      </w:rPr>
    </w:pPr>
    <w:r w:rsidRPr="00147986">
      <w:rPr>
        <w:rFonts w:ascii="Calibri" w:eastAsia="Times New Roman" w:hAnsi="Calibri" w:cs="Times New Roman"/>
        <w:b/>
        <w:sz w:val="20"/>
        <w:lang w:bidi="ar-SA"/>
      </w:rPr>
      <w:t xml:space="preserve">CDI </w:t>
    </w:r>
    <w:r>
      <w:rPr>
        <w:rFonts w:ascii="Calibri" w:eastAsia="Times New Roman" w:hAnsi="Calibri" w:cs="Times New Roman"/>
        <w:b/>
        <w:sz w:val="20"/>
        <w:lang w:bidi="ar-SA"/>
      </w:rPr>
      <w:t>NQTL Comparative Analysis Submission Form</w:t>
    </w:r>
    <w:r w:rsidRPr="00147986">
      <w:rPr>
        <w:rFonts w:ascii="Calibri" w:eastAsia="Times New Roman" w:hAnsi="Calibri" w:cs="Times New Roman"/>
        <w:b/>
        <w:sz w:val="20"/>
        <w:lang w:bidi="ar-SA"/>
      </w:rPr>
      <w:tab/>
      <w:t>Insurer: [</w:t>
    </w:r>
    <w:r w:rsidRPr="00147986">
      <w:rPr>
        <w:rFonts w:ascii="Calibri" w:eastAsia="Times New Roman" w:hAnsi="Calibri" w:cs="Times New Roman"/>
        <w:b/>
        <w:color w:val="FF0000"/>
        <w:sz w:val="20"/>
        <w:lang w:bidi="ar-SA"/>
      </w:rPr>
      <w:t>INSERT INSURER NAME</w:t>
    </w:r>
    <w:r w:rsidRPr="00147986">
      <w:rPr>
        <w:rFonts w:ascii="Calibri" w:eastAsia="Times New Roman" w:hAnsi="Calibri" w:cs="Times New Roman"/>
        <w:b/>
        <w:sz w:val="20"/>
        <w:lang w:bidi="ar-SA"/>
      </w:rPr>
      <w:t>]</w:t>
    </w:r>
  </w:p>
  <w:p w14:paraId="5E6E4CB6" w14:textId="295014B3" w:rsidR="00147986" w:rsidRPr="00147986" w:rsidRDefault="00147986" w:rsidP="00147986">
    <w:pPr>
      <w:widowControl/>
      <w:tabs>
        <w:tab w:val="right" w:pos="12960"/>
      </w:tabs>
      <w:autoSpaceDE/>
      <w:autoSpaceDN/>
      <w:rPr>
        <w:rFonts w:ascii="Calibri" w:eastAsia="Times New Roman" w:hAnsi="Calibri" w:cs="Times New Roman"/>
        <w:b/>
        <w:sz w:val="20"/>
        <w:lang w:bidi="ar-SA"/>
      </w:rPr>
    </w:pPr>
    <w:r w:rsidRPr="00147986">
      <w:rPr>
        <w:rFonts w:ascii="Calibri" w:eastAsia="Times New Roman" w:hAnsi="Calibri" w:cs="Times New Roman"/>
        <w:b/>
        <w:sz w:val="20"/>
        <w:lang w:bidi="ar-SA"/>
      </w:rPr>
      <w:tab/>
    </w:r>
    <w:r w:rsidR="00D27F26">
      <w:rPr>
        <w:rFonts w:ascii="Calibri" w:eastAsia="Times New Roman" w:hAnsi="Calibri" w:cs="Times New Roman"/>
        <w:b/>
        <w:sz w:val="20"/>
        <w:lang w:bidi="ar-SA"/>
      </w:rPr>
      <w:t>Plan(s)</w:t>
    </w:r>
    <w:r w:rsidRPr="00147986">
      <w:rPr>
        <w:rFonts w:ascii="Calibri" w:eastAsia="Times New Roman" w:hAnsi="Calibri" w:cs="Times New Roman"/>
        <w:b/>
        <w:sz w:val="20"/>
        <w:lang w:bidi="ar-SA"/>
      </w:rPr>
      <w:t>: [</w:t>
    </w:r>
    <w:r w:rsidRPr="00147986">
      <w:rPr>
        <w:rFonts w:ascii="Calibri" w:eastAsia="Times New Roman" w:hAnsi="Calibri" w:cs="Times New Roman"/>
        <w:b/>
        <w:color w:val="FF0000"/>
        <w:sz w:val="20"/>
        <w:lang w:bidi="ar-SA"/>
      </w:rPr>
      <w:t xml:space="preserve">INSERT </w:t>
    </w:r>
    <w:r w:rsidR="00D27F26">
      <w:rPr>
        <w:rFonts w:ascii="Calibri" w:eastAsia="Times New Roman" w:hAnsi="Calibri" w:cs="Times New Roman"/>
        <w:b/>
        <w:color w:val="FF0000"/>
        <w:sz w:val="20"/>
        <w:lang w:bidi="ar-SA"/>
      </w:rPr>
      <w:t>PLAN</w:t>
    </w:r>
    <w:r w:rsidRPr="00147986">
      <w:rPr>
        <w:rFonts w:ascii="Calibri" w:eastAsia="Times New Roman" w:hAnsi="Calibri" w:cs="Times New Roman"/>
        <w:b/>
        <w:color w:val="FF0000"/>
        <w:sz w:val="20"/>
        <w:lang w:bidi="ar-SA"/>
      </w:rPr>
      <w:t xml:space="preserve"> NAME</w:t>
    </w:r>
    <w:r w:rsidR="00D27F26">
      <w:rPr>
        <w:rFonts w:ascii="Calibri" w:eastAsia="Times New Roman" w:hAnsi="Calibri" w:cs="Times New Roman"/>
        <w:b/>
        <w:color w:val="FF0000"/>
        <w:sz w:val="20"/>
        <w:lang w:bidi="ar-SA"/>
      </w:rPr>
      <w:t>(S)</w:t>
    </w:r>
    <w:r w:rsidRPr="00147986">
      <w:rPr>
        <w:rFonts w:ascii="Calibri" w:eastAsia="Times New Roman" w:hAnsi="Calibri" w:cs="Times New Roman"/>
        <w:b/>
        <w:sz w:val="20"/>
        <w:lang w:bidi="ar-SA"/>
      </w:rPr>
      <w:t>]</w:t>
    </w:r>
  </w:p>
  <w:p w14:paraId="4F994813" w14:textId="35A6E592" w:rsidR="00147986" w:rsidRPr="00147986" w:rsidRDefault="00147986" w:rsidP="00147986">
    <w:pPr>
      <w:widowControl/>
      <w:pBdr>
        <w:bottom w:val="single" w:sz="4" w:space="1" w:color="auto"/>
      </w:pBdr>
      <w:tabs>
        <w:tab w:val="right" w:pos="12960"/>
      </w:tabs>
      <w:autoSpaceDE/>
      <w:autoSpaceDN/>
      <w:spacing w:after="200"/>
      <w:rPr>
        <w:rFonts w:ascii="Calibri" w:eastAsia="Times New Roman" w:hAnsi="Calibri" w:cs="Times New Roman"/>
        <w:b/>
        <w:sz w:val="20"/>
        <w:lang w:bidi="ar-SA"/>
      </w:rPr>
    </w:pPr>
    <w:r w:rsidRPr="00147986">
      <w:rPr>
        <w:rFonts w:ascii="Calibri" w:eastAsia="Times New Roman" w:hAnsi="Calibri" w:cs="Times New Roman"/>
        <w:b/>
        <w:sz w:val="20"/>
        <w:lang w:bidi="ar-SA"/>
      </w:rPr>
      <w:tab/>
      <w:t>State or SERFF Tracking #: [</w:t>
    </w:r>
    <w:r w:rsidRPr="00147986">
      <w:rPr>
        <w:rFonts w:ascii="Calibri" w:eastAsia="Times New Roman" w:hAnsi="Calibri" w:cs="Times New Roman"/>
        <w:b/>
        <w:color w:val="FF0000"/>
        <w:sz w:val="20"/>
        <w:lang w:bidi="ar-SA"/>
      </w:rPr>
      <w:t>INSERT FILE NUMBER</w:t>
    </w:r>
    <w:r w:rsidRPr="00147986">
      <w:rPr>
        <w:rFonts w:ascii="Calibri" w:eastAsia="Times New Roman" w:hAnsi="Calibri" w:cs="Times New Roman"/>
        <w:b/>
        <w:sz w:val="20"/>
        <w:lang w:bidi="ar-S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810"/>
    <w:multiLevelType w:val="hybridMultilevel"/>
    <w:tmpl w:val="762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3CA"/>
    <w:multiLevelType w:val="hybridMultilevel"/>
    <w:tmpl w:val="4D90FEAA"/>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2" w15:restartNumberingAfterBreak="0">
    <w:nsid w:val="106A693D"/>
    <w:multiLevelType w:val="hybridMultilevel"/>
    <w:tmpl w:val="10061A42"/>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3" w15:restartNumberingAfterBreak="0">
    <w:nsid w:val="264C7D94"/>
    <w:multiLevelType w:val="hybridMultilevel"/>
    <w:tmpl w:val="EB746408"/>
    <w:lvl w:ilvl="0" w:tplc="04090001">
      <w:start w:val="1"/>
      <w:numFmt w:val="bullet"/>
      <w:lvlText w:val=""/>
      <w:lvlJc w:val="left"/>
      <w:pPr>
        <w:ind w:left="1887" w:hanging="360"/>
      </w:pPr>
      <w:rPr>
        <w:rFonts w:ascii="Symbol" w:hAnsi="Symbol" w:hint="default"/>
      </w:rPr>
    </w:lvl>
    <w:lvl w:ilvl="1" w:tplc="04090003" w:tentative="1">
      <w:start w:val="1"/>
      <w:numFmt w:val="bullet"/>
      <w:lvlText w:val="o"/>
      <w:lvlJc w:val="left"/>
      <w:pPr>
        <w:ind w:left="2607" w:hanging="360"/>
      </w:pPr>
      <w:rPr>
        <w:rFonts w:ascii="Courier New" w:hAnsi="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4" w15:restartNumberingAfterBreak="0">
    <w:nsid w:val="30417A88"/>
    <w:multiLevelType w:val="hybridMultilevel"/>
    <w:tmpl w:val="12548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A5AA3"/>
    <w:multiLevelType w:val="hybridMultilevel"/>
    <w:tmpl w:val="B2C0E52E"/>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6" w15:restartNumberingAfterBreak="0">
    <w:nsid w:val="382103B2"/>
    <w:multiLevelType w:val="hybridMultilevel"/>
    <w:tmpl w:val="6ECC18F2"/>
    <w:lvl w:ilvl="0" w:tplc="50F67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2190F"/>
    <w:multiLevelType w:val="hybridMultilevel"/>
    <w:tmpl w:val="14AA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33064"/>
    <w:multiLevelType w:val="hybridMultilevel"/>
    <w:tmpl w:val="627A4990"/>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9" w15:restartNumberingAfterBreak="0">
    <w:nsid w:val="5B616523"/>
    <w:multiLevelType w:val="hybridMultilevel"/>
    <w:tmpl w:val="93D6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208C1"/>
    <w:multiLevelType w:val="hybridMultilevel"/>
    <w:tmpl w:val="1A52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D70CA"/>
    <w:multiLevelType w:val="hybridMultilevel"/>
    <w:tmpl w:val="8AD80130"/>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hint="default"/>
      </w:rPr>
    </w:lvl>
    <w:lvl w:ilvl="8" w:tplc="04090005" w:tentative="1">
      <w:start w:val="1"/>
      <w:numFmt w:val="bullet"/>
      <w:lvlText w:val=""/>
      <w:lvlJc w:val="left"/>
      <w:pPr>
        <w:ind w:left="7648" w:hanging="360"/>
      </w:pPr>
      <w:rPr>
        <w:rFonts w:ascii="Wingdings" w:hAnsi="Wingdings" w:hint="default"/>
      </w:rPr>
    </w:lvl>
  </w:abstractNum>
  <w:num w:numId="1">
    <w:abstractNumId w:val="1"/>
  </w:num>
  <w:num w:numId="2">
    <w:abstractNumId w:val="5"/>
  </w:num>
  <w:num w:numId="3">
    <w:abstractNumId w:val="8"/>
  </w:num>
  <w:num w:numId="4">
    <w:abstractNumId w:val="11"/>
  </w:num>
  <w:num w:numId="5">
    <w:abstractNumId w:val="7"/>
  </w:num>
  <w:num w:numId="6">
    <w:abstractNumId w:val="2"/>
  </w:num>
  <w:num w:numId="7">
    <w:abstractNumId w:val="10"/>
  </w:num>
  <w:num w:numId="8">
    <w:abstractNumId w:val="3"/>
  </w:num>
  <w:num w:numId="9">
    <w:abstractNumId w:val="0"/>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ilerSet" w:val="Set"/>
  </w:docVars>
  <w:rsids>
    <w:rsidRoot w:val="005410B9"/>
    <w:rsid w:val="00004636"/>
    <w:rsid w:val="000136BA"/>
    <w:rsid w:val="0001610A"/>
    <w:rsid w:val="00016A03"/>
    <w:rsid w:val="00016A42"/>
    <w:rsid w:val="00017761"/>
    <w:rsid w:val="00025F5C"/>
    <w:rsid w:val="00026C22"/>
    <w:rsid w:val="000347E4"/>
    <w:rsid w:val="00063062"/>
    <w:rsid w:val="0006477E"/>
    <w:rsid w:val="00083A07"/>
    <w:rsid w:val="000860CE"/>
    <w:rsid w:val="000C1D07"/>
    <w:rsid w:val="000C55E8"/>
    <w:rsid w:val="000C5C8A"/>
    <w:rsid w:val="000C7B9A"/>
    <w:rsid w:val="000F5BC1"/>
    <w:rsid w:val="0010487B"/>
    <w:rsid w:val="00114DB1"/>
    <w:rsid w:val="001223C1"/>
    <w:rsid w:val="0012342C"/>
    <w:rsid w:val="00123848"/>
    <w:rsid w:val="001273D8"/>
    <w:rsid w:val="001411D0"/>
    <w:rsid w:val="00143250"/>
    <w:rsid w:val="00147986"/>
    <w:rsid w:val="00152217"/>
    <w:rsid w:val="001707CF"/>
    <w:rsid w:val="00184791"/>
    <w:rsid w:val="001938DC"/>
    <w:rsid w:val="001A4064"/>
    <w:rsid w:val="001E152F"/>
    <w:rsid w:val="001E3AD2"/>
    <w:rsid w:val="00202113"/>
    <w:rsid w:val="00204608"/>
    <w:rsid w:val="00206557"/>
    <w:rsid w:val="00213D8D"/>
    <w:rsid w:val="00220AAD"/>
    <w:rsid w:val="002233D4"/>
    <w:rsid w:val="00244A20"/>
    <w:rsid w:val="0026389E"/>
    <w:rsid w:val="002709B4"/>
    <w:rsid w:val="002945B8"/>
    <w:rsid w:val="002B10DE"/>
    <w:rsid w:val="002B14E5"/>
    <w:rsid w:val="002B309F"/>
    <w:rsid w:val="002E1B1F"/>
    <w:rsid w:val="002F31A9"/>
    <w:rsid w:val="0033506B"/>
    <w:rsid w:val="003612C3"/>
    <w:rsid w:val="00367618"/>
    <w:rsid w:val="003A6F0C"/>
    <w:rsid w:val="003B0A6E"/>
    <w:rsid w:val="003D167A"/>
    <w:rsid w:val="003D40C6"/>
    <w:rsid w:val="003E0AA2"/>
    <w:rsid w:val="003E72F8"/>
    <w:rsid w:val="003F1595"/>
    <w:rsid w:val="003F163D"/>
    <w:rsid w:val="00463FA4"/>
    <w:rsid w:val="00465FEC"/>
    <w:rsid w:val="004778A9"/>
    <w:rsid w:val="00483499"/>
    <w:rsid w:val="00483A99"/>
    <w:rsid w:val="00495223"/>
    <w:rsid w:val="004A6E59"/>
    <w:rsid w:val="004B3E15"/>
    <w:rsid w:val="004C17E1"/>
    <w:rsid w:val="00503760"/>
    <w:rsid w:val="0051062C"/>
    <w:rsid w:val="005410B9"/>
    <w:rsid w:val="00553861"/>
    <w:rsid w:val="005631E2"/>
    <w:rsid w:val="00571160"/>
    <w:rsid w:val="00575DC0"/>
    <w:rsid w:val="00577095"/>
    <w:rsid w:val="00582BE4"/>
    <w:rsid w:val="005875C6"/>
    <w:rsid w:val="005A1B8A"/>
    <w:rsid w:val="005B14C1"/>
    <w:rsid w:val="005F717F"/>
    <w:rsid w:val="00603227"/>
    <w:rsid w:val="00610222"/>
    <w:rsid w:val="0064354D"/>
    <w:rsid w:val="00655C2F"/>
    <w:rsid w:val="006569D7"/>
    <w:rsid w:val="00683AFD"/>
    <w:rsid w:val="00684C40"/>
    <w:rsid w:val="006B3C6B"/>
    <w:rsid w:val="006C0857"/>
    <w:rsid w:val="006C63A2"/>
    <w:rsid w:val="006D4807"/>
    <w:rsid w:val="006F2514"/>
    <w:rsid w:val="006F64ED"/>
    <w:rsid w:val="007007EF"/>
    <w:rsid w:val="00726632"/>
    <w:rsid w:val="0073507D"/>
    <w:rsid w:val="00742388"/>
    <w:rsid w:val="00753EE8"/>
    <w:rsid w:val="007975B1"/>
    <w:rsid w:val="007B026F"/>
    <w:rsid w:val="007B53DD"/>
    <w:rsid w:val="007C790C"/>
    <w:rsid w:val="007D2B2D"/>
    <w:rsid w:val="007F0A84"/>
    <w:rsid w:val="007F709E"/>
    <w:rsid w:val="00820BA4"/>
    <w:rsid w:val="00835166"/>
    <w:rsid w:val="008454CE"/>
    <w:rsid w:val="00871DD1"/>
    <w:rsid w:val="00876878"/>
    <w:rsid w:val="00882BD3"/>
    <w:rsid w:val="00895406"/>
    <w:rsid w:val="00897DDE"/>
    <w:rsid w:val="008C00BA"/>
    <w:rsid w:val="008C78D6"/>
    <w:rsid w:val="008F3BF2"/>
    <w:rsid w:val="008F46F7"/>
    <w:rsid w:val="009159B5"/>
    <w:rsid w:val="00921101"/>
    <w:rsid w:val="00922879"/>
    <w:rsid w:val="009365FD"/>
    <w:rsid w:val="009542D8"/>
    <w:rsid w:val="00975A16"/>
    <w:rsid w:val="009D0BCE"/>
    <w:rsid w:val="009F4105"/>
    <w:rsid w:val="009F5926"/>
    <w:rsid w:val="00A176AF"/>
    <w:rsid w:val="00A35535"/>
    <w:rsid w:val="00A4286D"/>
    <w:rsid w:val="00A751DB"/>
    <w:rsid w:val="00A84965"/>
    <w:rsid w:val="00AC00B2"/>
    <w:rsid w:val="00AD7614"/>
    <w:rsid w:val="00B01241"/>
    <w:rsid w:val="00B1775F"/>
    <w:rsid w:val="00B32DDD"/>
    <w:rsid w:val="00B34B02"/>
    <w:rsid w:val="00B35B43"/>
    <w:rsid w:val="00B5100C"/>
    <w:rsid w:val="00B63C43"/>
    <w:rsid w:val="00B73FED"/>
    <w:rsid w:val="00B84760"/>
    <w:rsid w:val="00B84F13"/>
    <w:rsid w:val="00B96468"/>
    <w:rsid w:val="00BA1A32"/>
    <w:rsid w:val="00BA2027"/>
    <w:rsid w:val="00BC3BA8"/>
    <w:rsid w:val="00BD456A"/>
    <w:rsid w:val="00BE5E71"/>
    <w:rsid w:val="00C25444"/>
    <w:rsid w:val="00C3268A"/>
    <w:rsid w:val="00C35A8D"/>
    <w:rsid w:val="00C37DA3"/>
    <w:rsid w:val="00C45D31"/>
    <w:rsid w:val="00C546D7"/>
    <w:rsid w:val="00C56B33"/>
    <w:rsid w:val="00C62CC4"/>
    <w:rsid w:val="00C825F3"/>
    <w:rsid w:val="00C85001"/>
    <w:rsid w:val="00C86C64"/>
    <w:rsid w:val="00C9201F"/>
    <w:rsid w:val="00CA6EDB"/>
    <w:rsid w:val="00CA7545"/>
    <w:rsid w:val="00CB08BB"/>
    <w:rsid w:val="00CD04D9"/>
    <w:rsid w:val="00CD2549"/>
    <w:rsid w:val="00D07DE2"/>
    <w:rsid w:val="00D140E8"/>
    <w:rsid w:val="00D27F26"/>
    <w:rsid w:val="00D40368"/>
    <w:rsid w:val="00D66E90"/>
    <w:rsid w:val="00D67943"/>
    <w:rsid w:val="00D67DDA"/>
    <w:rsid w:val="00D77397"/>
    <w:rsid w:val="00D8367B"/>
    <w:rsid w:val="00DA5FBD"/>
    <w:rsid w:val="00DB479F"/>
    <w:rsid w:val="00DC0007"/>
    <w:rsid w:val="00DC1A31"/>
    <w:rsid w:val="00E12D19"/>
    <w:rsid w:val="00E1429E"/>
    <w:rsid w:val="00E1619F"/>
    <w:rsid w:val="00E21EAB"/>
    <w:rsid w:val="00E41AC6"/>
    <w:rsid w:val="00E639B6"/>
    <w:rsid w:val="00E928B1"/>
    <w:rsid w:val="00E94E01"/>
    <w:rsid w:val="00EA6D05"/>
    <w:rsid w:val="00EC08EB"/>
    <w:rsid w:val="00EE7B42"/>
    <w:rsid w:val="00F0068F"/>
    <w:rsid w:val="00F01953"/>
    <w:rsid w:val="00F11CEB"/>
    <w:rsid w:val="00F2268C"/>
    <w:rsid w:val="00F52781"/>
    <w:rsid w:val="00F82B75"/>
    <w:rsid w:val="00F90121"/>
    <w:rsid w:val="00FA430F"/>
    <w:rsid w:val="00FA57CD"/>
    <w:rsid w:val="00FC381E"/>
    <w:rsid w:val="00FD774D"/>
    <w:rsid w:val="00FF0BE7"/>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54F45"/>
  <w14:defaultImageDpi w14:val="300"/>
  <w15:docId w15:val="{6D8C33A3-024F-4D2E-89D5-2EA61034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410B9"/>
    <w:pPr>
      <w:widowControl w:val="0"/>
      <w:autoSpaceDE w:val="0"/>
      <w:autoSpaceDN w:val="0"/>
    </w:pPr>
    <w:rPr>
      <w:rFonts w:ascii="Myriad Pro Light" w:eastAsia="Myriad Pro Light" w:hAnsi="Myriad Pro Light" w:cs="Myriad Pro Light"/>
      <w:sz w:val="22"/>
      <w:szCs w:val="22"/>
      <w:lang w:bidi="en-US"/>
    </w:rPr>
  </w:style>
  <w:style w:type="paragraph" w:styleId="Heading1">
    <w:name w:val="heading 1"/>
    <w:basedOn w:val="Normal"/>
    <w:next w:val="Normal"/>
    <w:link w:val="Heading1Char"/>
    <w:uiPriority w:val="9"/>
    <w:qFormat/>
    <w:rsid w:val="001479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79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10B9"/>
    <w:rPr>
      <w:sz w:val="23"/>
      <w:szCs w:val="23"/>
    </w:rPr>
  </w:style>
  <w:style w:type="character" w:customStyle="1" w:styleId="BodyTextChar">
    <w:name w:val="Body Text Char"/>
    <w:basedOn w:val="DefaultParagraphFont"/>
    <w:link w:val="BodyText"/>
    <w:uiPriority w:val="1"/>
    <w:rsid w:val="005410B9"/>
    <w:rPr>
      <w:rFonts w:ascii="Myriad Pro Light" w:eastAsia="Myriad Pro Light" w:hAnsi="Myriad Pro Light" w:cs="Myriad Pro Light"/>
      <w:sz w:val="23"/>
      <w:szCs w:val="23"/>
      <w:lang w:bidi="en-US"/>
    </w:rPr>
  </w:style>
  <w:style w:type="character" w:styleId="Hyperlink">
    <w:name w:val="Hyperlink"/>
    <w:basedOn w:val="DefaultParagraphFont"/>
    <w:uiPriority w:val="99"/>
    <w:unhideWhenUsed/>
    <w:rsid w:val="00C86C64"/>
    <w:rPr>
      <w:color w:val="0000FF" w:themeColor="hyperlink"/>
      <w:u w:val="single"/>
    </w:rPr>
  </w:style>
  <w:style w:type="paragraph" w:styleId="Header">
    <w:name w:val="header"/>
    <w:basedOn w:val="Normal"/>
    <w:link w:val="HeaderChar"/>
    <w:uiPriority w:val="99"/>
    <w:unhideWhenUsed/>
    <w:rsid w:val="00C62CC4"/>
    <w:pPr>
      <w:tabs>
        <w:tab w:val="center" w:pos="4320"/>
        <w:tab w:val="right" w:pos="8640"/>
      </w:tabs>
    </w:pPr>
  </w:style>
  <w:style w:type="character" w:customStyle="1" w:styleId="HeaderChar">
    <w:name w:val="Header Char"/>
    <w:basedOn w:val="DefaultParagraphFont"/>
    <w:link w:val="Header"/>
    <w:uiPriority w:val="99"/>
    <w:rsid w:val="00C62CC4"/>
    <w:rPr>
      <w:rFonts w:ascii="Myriad Pro Light" w:eastAsia="Myriad Pro Light" w:hAnsi="Myriad Pro Light" w:cs="Myriad Pro Light"/>
      <w:sz w:val="22"/>
      <w:szCs w:val="22"/>
      <w:lang w:bidi="en-US"/>
    </w:rPr>
  </w:style>
  <w:style w:type="paragraph" w:styleId="Footer">
    <w:name w:val="footer"/>
    <w:basedOn w:val="Normal"/>
    <w:link w:val="FooterChar"/>
    <w:uiPriority w:val="99"/>
    <w:unhideWhenUsed/>
    <w:rsid w:val="00C62CC4"/>
    <w:pPr>
      <w:tabs>
        <w:tab w:val="center" w:pos="4320"/>
        <w:tab w:val="right" w:pos="8640"/>
      </w:tabs>
    </w:pPr>
  </w:style>
  <w:style w:type="character" w:customStyle="1" w:styleId="FooterChar">
    <w:name w:val="Footer Char"/>
    <w:basedOn w:val="DefaultParagraphFont"/>
    <w:link w:val="Footer"/>
    <w:uiPriority w:val="99"/>
    <w:rsid w:val="00C62CC4"/>
    <w:rPr>
      <w:rFonts w:ascii="Myriad Pro Light" w:eastAsia="Myriad Pro Light" w:hAnsi="Myriad Pro Light" w:cs="Myriad Pro Light"/>
      <w:sz w:val="22"/>
      <w:szCs w:val="22"/>
      <w:lang w:bidi="en-US"/>
    </w:rPr>
  </w:style>
  <w:style w:type="character" w:styleId="CommentReference">
    <w:name w:val="annotation reference"/>
    <w:basedOn w:val="DefaultParagraphFont"/>
    <w:uiPriority w:val="99"/>
    <w:semiHidden/>
    <w:unhideWhenUsed/>
    <w:rsid w:val="00876878"/>
    <w:rPr>
      <w:sz w:val="16"/>
      <w:szCs w:val="16"/>
    </w:rPr>
  </w:style>
  <w:style w:type="paragraph" w:styleId="CommentText">
    <w:name w:val="annotation text"/>
    <w:basedOn w:val="Normal"/>
    <w:link w:val="CommentTextChar"/>
    <w:uiPriority w:val="99"/>
    <w:semiHidden/>
    <w:unhideWhenUsed/>
    <w:rsid w:val="00876878"/>
    <w:rPr>
      <w:sz w:val="20"/>
      <w:szCs w:val="20"/>
    </w:rPr>
  </w:style>
  <w:style w:type="character" w:customStyle="1" w:styleId="CommentTextChar">
    <w:name w:val="Comment Text Char"/>
    <w:basedOn w:val="DefaultParagraphFont"/>
    <w:link w:val="CommentText"/>
    <w:uiPriority w:val="99"/>
    <w:semiHidden/>
    <w:rsid w:val="00876878"/>
    <w:rPr>
      <w:rFonts w:ascii="Myriad Pro Light" w:eastAsia="Myriad Pro Light" w:hAnsi="Myriad Pro Light" w:cs="Myriad Pro Light"/>
      <w:sz w:val="20"/>
      <w:szCs w:val="20"/>
      <w:lang w:bidi="en-US"/>
    </w:rPr>
  </w:style>
  <w:style w:type="paragraph" w:styleId="CommentSubject">
    <w:name w:val="annotation subject"/>
    <w:basedOn w:val="CommentText"/>
    <w:next w:val="CommentText"/>
    <w:link w:val="CommentSubjectChar"/>
    <w:uiPriority w:val="99"/>
    <w:semiHidden/>
    <w:unhideWhenUsed/>
    <w:rsid w:val="00876878"/>
    <w:rPr>
      <w:b/>
      <w:bCs/>
    </w:rPr>
  </w:style>
  <w:style w:type="character" w:customStyle="1" w:styleId="CommentSubjectChar">
    <w:name w:val="Comment Subject Char"/>
    <w:basedOn w:val="CommentTextChar"/>
    <w:link w:val="CommentSubject"/>
    <w:uiPriority w:val="99"/>
    <w:semiHidden/>
    <w:rsid w:val="00876878"/>
    <w:rPr>
      <w:rFonts w:ascii="Myriad Pro Light" w:eastAsia="Myriad Pro Light" w:hAnsi="Myriad Pro Light" w:cs="Myriad Pro Light"/>
      <w:b/>
      <w:bCs/>
      <w:sz w:val="20"/>
      <w:szCs w:val="20"/>
      <w:lang w:bidi="en-US"/>
    </w:rPr>
  </w:style>
  <w:style w:type="paragraph" w:styleId="BalloonText">
    <w:name w:val="Balloon Text"/>
    <w:basedOn w:val="Normal"/>
    <w:link w:val="BalloonTextChar"/>
    <w:uiPriority w:val="99"/>
    <w:semiHidden/>
    <w:unhideWhenUsed/>
    <w:rsid w:val="00876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878"/>
    <w:rPr>
      <w:rFonts w:ascii="Segoe UI" w:eastAsia="Myriad Pro Light" w:hAnsi="Segoe UI" w:cs="Segoe UI"/>
      <w:sz w:val="18"/>
      <w:szCs w:val="18"/>
      <w:lang w:bidi="en-US"/>
    </w:rPr>
  </w:style>
  <w:style w:type="paragraph" w:styleId="Revision">
    <w:name w:val="Revision"/>
    <w:hidden/>
    <w:uiPriority w:val="99"/>
    <w:semiHidden/>
    <w:rsid w:val="00B84760"/>
    <w:rPr>
      <w:rFonts w:ascii="Myriad Pro Light" w:eastAsia="Myriad Pro Light" w:hAnsi="Myriad Pro Light" w:cs="Myriad Pro Light"/>
      <w:sz w:val="22"/>
      <w:szCs w:val="22"/>
      <w:lang w:bidi="en-US"/>
    </w:rPr>
  </w:style>
  <w:style w:type="character" w:customStyle="1" w:styleId="Heading1Char">
    <w:name w:val="Heading 1 Char"/>
    <w:basedOn w:val="DefaultParagraphFont"/>
    <w:link w:val="Heading1"/>
    <w:uiPriority w:val="9"/>
    <w:rsid w:val="00147986"/>
    <w:rPr>
      <w:rFonts w:asciiTheme="majorHAnsi" w:eastAsiaTheme="majorEastAsia" w:hAnsiTheme="majorHAnsi" w:cstheme="majorBidi"/>
      <w:color w:val="365F91" w:themeColor="accent1" w:themeShade="BF"/>
      <w:sz w:val="32"/>
      <w:szCs w:val="32"/>
      <w:lang w:bidi="en-US"/>
    </w:rPr>
  </w:style>
  <w:style w:type="character" w:customStyle="1" w:styleId="Heading2Char">
    <w:name w:val="Heading 2 Char"/>
    <w:basedOn w:val="DefaultParagraphFont"/>
    <w:link w:val="Heading2"/>
    <w:uiPriority w:val="9"/>
    <w:rsid w:val="00147986"/>
    <w:rPr>
      <w:rFonts w:asciiTheme="majorHAnsi" w:eastAsiaTheme="majorEastAsia" w:hAnsiTheme="majorHAnsi" w:cstheme="majorBidi"/>
      <w:color w:val="365F91" w:themeColor="accent1" w:themeShade="BF"/>
      <w:sz w:val="26"/>
      <w:szCs w:val="26"/>
      <w:lang w:bidi="en-US"/>
    </w:rPr>
  </w:style>
  <w:style w:type="paragraph" w:styleId="Title">
    <w:name w:val="Title"/>
    <w:basedOn w:val="Normal"/>
    <w:next w:val="Normal"/>
    <w:link w:val="TitleChar"/>
    <w:uiPriority w:val="10"/>
    <w:qFormat/>
    <w:rsid w:val="001479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986"/>
    <w:rPr>
      <w:rFonts w:asciiTheme="majorHAnsi" w:eastAsiaTheme="majorEastAsia" w:hAnsiTheme="majorHAnsi" w:cstheme="majorBidi"/>
      <w:spacing w:val="-10"/>
      <w:kern w:val="28"/>
      <w:sz w:val="56"/>
      <w:szCs w:val="56"/>
      <w:lang w:bidi="en-US"/>
    </w:rPr>
  </w:style>
  <w:style w:type="character" w:styleId="UnresolvedMention">
    <w:name w:val="Unresolved Mention"/>
    <w:basedOn w:val="DefaultParagraphFont"/>
    <w:uiPriority w:val="99"/>
    <w:semiHidden/>
    <w:unhideWhenUsed/>
    <w:rsid w:val="009542D8"/>
    <w:rPr>
      <w:color w:val="605E5C"/>
      <w:shd w:val="clear" w:color="auto" w:fill="E1DFDD"/>
    </w:rPr>
  </w:style>
  <w:style w:type="paragraph" w:customStyle="1" w:styleId="zzTrailerDocName">
    <w:name w:val="zzTrailerDocName"/>
    <w:basedOn w:val="Title"/>
    <w:link w:val="zzTrailerDocNameChar"/>
    <w:rsid w:val="001223C1"/>
    <w:rPr>
      <w:sz w:val="16"/>
      <w:szCs w:val="44"/>
    </w:rPr>
  </w:style>
  <w:style w:type="character" w:customStyle="1" w:styleId="zzTrailerDocNameChar">
    <w:name w:val="zzTrailerDocName Char"/>
    <w:basedOn w:val="TitleChar"/>
    <w:link w:val="zzTrailerDocName"/>
    <w:rsid w:val="001223C1"/>
    <w:rPr>
      <w:rFonts w:asciiTheme="majorHAnsi" w:eastAsiaTheme="majorEastAsia" w:hAnsiTheme="majorHAnsi" w:cstheme="majorBidi"/>
      <w:spacing w:val="-10"/>
      <w:kern w:val="28"/>
      <w:sz w:val="16"/>
      <w:szCs w:val="4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l.gov/sites/dolgov/files/EBSA/about-ebsa/our-activities/resource-center/faqs/aca-part-4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l.gov/sites/dolgov/files/EBSA/about-ebsa/our-activities/resource-center/faqs/aca-part-4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l.gov/sites/dolgov/files/EBSA/about-ebsa/our-activities/resource-center/faqs/aca-part-45.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ol.gov/sites/dolgov/files/EBSA/about-ebsa/our-activities/resource-center/faqs/aca-part-4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l.gov/sites/dolgov/files/EBSA/about-ebsa/our-activities/resource-center/faqs/aca-part-4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71D36578F72249B0334CD137C97E38" ma:contentTypeVersion="6" ma:contentTypeDescription="Create a new document." ma:contentTypeScope="" ma:versionID="bb52a3b39f847383a238498a80034a95">
  <xsd:schema xmlns:xsd="http://www.w3.org/2001/XMLSchema" xmlns:xs="http://www.w3.org/2001/XMLSchema" xmlns:p="http://schemas.microsoft.com/office/2006/metadata/properties" xmlns:ns1="http://schemas.microsoft.com/sharepoint/v3" xmlns:ns2="64411391-1209-459e-a400-ab3ad99ba51a" xmlns:ns3="38f7e98f-5b3a-406b-ab24-4ec3a6d05f0b" targetNamespace="http://schemas.microsoft.com/office/2006/metadata/properties" ma:root="true" ma:fieldsID="03cbf77589908ce4545140dd2ee82fc0" ns1:_="" ns2:_="" ns3:_="">
    <xsd:import namespace="http://schemas.microsoft.com/sharepoint/v3"/>
    <xsd:import namespace="64411391-1209-459e-a400-ab3ad99ba51a"/>
    <xsd:import namespace="38f7e98f-5b3a-406b-ab24-4ec3a6d05f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11391-1209-459e-a400-ab3ad99ba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7e98f-5b3a-406b-ab24-4ec3a6d05f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560A9-8747-40A1-B345-459D1795B4F1}">
  <ds:schemaRefs>
    <ds:schemaRef ds:uri="64411391-1209-459e-a400-ab3ad99ba51a"/>
    <ds:schemaRef ds:uri="http://purl.org/dc/terms/"/>
    <ds:schemaRef ds:uri="http://purl.org/dc/dcmitype/"/>
    <ds:schemaRef ds:uri="http://schemas.microsoft.com/office/2006/documentManagement/types"/>
    <ds:schemaRef ds:uri="38f7e98f-5b3a-406b-ab24-4ec3a6d05f0b"/>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88B2821-B74C-477C-B146-ACCCAB5AB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411391-1209-459e-a400-ab3ad99ba51a"/>
    <ds:schemaRef ds:uri="38f7e98f-5b3a-406b-ab24-4ec3a6d05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C3DB3-EF47-4ECD-8624-4EEC0E25C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Scattergood Foundation</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Scattergood Foundation</dc:creator>
  <cp:keywords/>
  <dc:description/>
  <cp:lastModifiedBy>Lavelle, Ethan</cp:lastModifiedBy>
  <cp:revision>4</cp:revision>
  <dcterms:created xsi:type="dcterms:W3CDTF">2023-11-09T22:29:00Z</dcterms:created>
  <dcterms:modified xsi:type="dcterms:W3CDTF">2023-11-09T22:57:00Z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0x0101004771D36578F72249B0334CD137C97E38</vt:lpwstr>
  </property>
</Properties>
</file>