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F1E" w:rsidRPr="00D5016E" w:rsidRDefault="00DE4F1E" w:rsidP="00072688">
      <w:pPr>
        <w:pStyle w:val="Heading1"/>
        <w:spacing w:before="240" w:after="240"/>
      </w:pPr>
      <w:r w:rsidRPr="00D5016E">
        <w:t>Requirements</w:t>
      </w:r>
    </w:p>
    <w:p w:rsidR="00DE4F1E" w:rsidRDefault="00DE4F1E" w:rsidP="0060403B">
      <w:pPr>
        <w:spacing w:after="240" w:line="240" w:lineRule="auto"/>
        <w:jc w:val="center"/>
        <w:rPr>
          <w:rFonts w:ascii="Arial" w:hAnsi="Arial" w:cs="Arial"/>
          <w:b/>
        </w:rPr>
      </w:pPr>
      <w:r w:rsidRPr="00D5016E">
        <w:rPr>
          <w:rFonts w:ascii="Arial" w:hAnsi="Arial" w:cs="Arial"/>
          <w:b/>
        </w:rPr>
        <w:t>Applies to all admitted A&amp;H Insurers/Reinsurers with Workers’ Compensation Exposures</w:t>
      </w:r>
    </w:p>
    <w:p w:rsidR="00DE4F1E" w:rsidRDefault="00DE4F1E" w:rsidP="00DE4F1E">
      <w:pPr>
        <w:pStyle w:val="ListParagraph"/>
        <w:numPr>
          <w:ilvl w:val="0"/>
          <w:numId w:val="1"/>
        </w:numPr>
        <w:spacing w:after="0" w:line="240" w:lineRule="auto"/>
        <w:rPr>
          <w:rFonts w:ascii="Arial" w:hAnsi="Arial" w:cs="Arial"/>
          <w:b/>
        </w:rPr>
      </w:pPr>
      <w:r w:rsidRPr="00D5016E">
        <w:rPr>
          <w:rFonts w:ascii="Arial" w:hAnsi="Arial" w:cs="Arial"/>
          <w:b/>
        </w:rPr>
        <w:t>Notice to Commissioner:</w:t>
      </w:r>
      <w:bookmarkStart w:id="0" w:name="_GoBack"/>
      <w:bookmarkEnd w:id="0"/>
    </w:p>
    <w:p w:rsidR="00921370" w:rsidRPr="00D5016E" w:rsidRDefault="00921370" w:rsidP="00921370">
      <w:pPr>
        <w:pStyle w:val="ListParagraph"/>
        <w:spacing w:after="0" w:line="240" w:lineRule="auto"/>
        <w:rPr>
          <w:rFonts w:ascii="Arial" w:hAnsi="Arial" w:cs="Arial"/>
          <w:b/>
        </w:rPr>
      </w:pPr>
    </w:p>
    <w:p w:rsidR="00DE4F1E" w:rsidRPr="00D5016E" w:rsidRDefault="00DE4F1E" w:rsidP="0060403B">
      <w:pPr>
        <w:spacing w:after="240" w:line="240" w:lineRule="auto"/>
        <w:ind w:left="720"/>
        <w:jc w:val="both"/>
        <w:rPr>
          <w:rFonts w:ascii="Arial" w:hAnsi="Arial" w:cs="Arial"/>
          <w:b/>
        </w:rPr>
      </w:pPr>
      <w:r w:rsidRPr="00D5016E">
        <w:rPr>
          <w:rFonts w:ascii="Arial" w:hAnsi="Arial" w:cs="Arial"/>
        </w:rPr>
        <w:t>Pursuant to California Insurance Code Section ("CICS") 11691(b):  Each insurer or reinsurer desiring to have the ability to reinsure the injury, disablement, or death portions of policies of workers’ compensation under the class of disability insurance shall provide prior notice to the commissioner, in the manner and form prescribed by the commissioner of its intent to reinsure that insurance (Form 151). In the event of late notice, a late filing fee shall be imposed on the reinsurer pursuant to CICS 924 for failure to notify the commissioner of its intent to reinsure workers’ compensation insurance.</w:t>
      </w:r>
    </w:p>
    <w:p w:rsidR="00DE4F1E" w:rsidRDefault="00DE4F1E" w:rsidP="00DE4F1E">
      <w:pPr>
        <w:pStyle w:val="ListParagraph"/>
        <w:numPr>
          <w:ilvl w:val="0"/>
          <w:numId w:val="1"/>
        </w:numPr>
        <w:spacing w:after="0" w:line="240" w:lineRule="auto"/>
        <w:jc w:val="both"/>
        <w:rPr>
          <w:rFonts w:ascii="Arial" w:hAnsi="Arial" w:cs="Arial"/>
          <w:b/>
        </w:rPr>
      </w:pPr>
      <w:r>
        <w:rPr>
          <w:rFonts w:ascii="Arial" w:hAnsi="Arial" w:cs="Arial"/>
          <w:b/>
        </w:rPr>
        <w:t>Workers’ Compensation Deposit Requirement:</w:t>
      </w:r>
    </w:p>
    <w:p w:rsidR="00921370" w:rsidRDefault="00921370" w:rsidP="00921370">
      <w:pPr>
        <w:pStyle w:val="ListParagraph"/>
        <w:spacing w:after="0" w:line="240" w:lineRule="auto"/>
        <w:jc w:val="both"/>
        <w:rPr>
          <w:rFonts w:ascii="Arial" w:hAnsi="Arial" w:cs="Arial"/>
          <w:b/>
        </w:rPr>
      </w:pPr>
    </w:p>
    <w:p w:rsidR="00DE4F1E" w:rsidRDefault="00DE4F1E" w:rsidP="00DE4F1E">
      <w:pPr>
        <w:pStyle w:val="ListParagraph"/>
        <w:spacing w:line="240" w:lineRule="auto"/>
        <w:jc w:val="both"/>
        <w:rPr>
          <w:rFonts w:ascii="Arial" w:hAnsi="Arial" w:cs="Arial"/>
        </w:rPr>
      </w:pPr>
      <w:r w:rsidRPr="00D5016E">
        <w:rPr>
          <w:rFonts w:ascii="Arial" w:hAnsi="Arial" w:cs="Arial"/>
        </w:rPr>
        <w:t>Every insurer desiring admission for workers’ compensation insurance or desiring to reinsure the injury, disablement, or death portions of policies of workers’ compensation insurance, under the class of disability insurance, is required as a prerequisite, to maintain on file in the Office of the Insurance Commissioner a workers’ compensation deposit pursuant to CICS 11691 as amended (effective January 1, 2003).  The deposit shall be for the purpose of paying compensable workers’ compensation claims under policies issued by the insurer or reinsured by the reinsurer and expenses as provided in CICS 11698.02, in the event the insurer or reinsurer fails to pay those claims when they come due.</w:t>
      </w:r>
    </w:p>
    <w:p w:rsidR="00DE4F1E" w:rsidRPr="00D5016E" w:rsidRDefault="00DE4F1E" w:rsidP="0060403B">
      <w:pPr>
        <w:pStyle w:val="ListParagraph"/>
        <w:spacing w:after="240" w:line="240" w:lineRule="auto"/>
        <w:jc w:val="both"/>
        <w:rPr>
          <w:rFonts w:ascii="Arial" w:hAnsi="Arial" w:cs="Arial"/>
        </w:rPr>
      </w:pPr>
    </w:p>
    <w:p w:rsidR="00DE4F1E" w:rsidRDefault="00DE4F1E" w:rsidP="0060403B">
      <w:pPr>
        <w:pStyle w:val="ListParagraph"/>
        <w:spacing w:after="240" w:line="240" w:lineRule="auto"/>
        <w:jc w:val="both"/>
        <w:rPr>
          <w:rFonts w:ascii="Arial" w:hAnsi="Arial" w:cs="Arial"/>
        </w:rPr>
      </w:pPr>
      <w:r w:rsidRPr="00D5016E">
        <w:rPr>
          <w:rFonts w:ascii="Arial" w:hAnsi="Arial" w:cs="Arial"/>
        </w:rPr>
        <w:t>Pursuant to CICS 11692.5, a late filing fee will be assessed for failure to deposit the required Statutory Workers' Compensation Deposit Requirement.</w:t>
      </w:r>
    </w:p>
    <w:p w:rsidR="00DE4F1E" w:rsidRPr="00D5016E" w:rsidRDefault="00DE4F1E" w:rsidP="00DE4F1E">
      <w:pPr>
        <w:pStyle w:val="ListParagraph"/>
        <w:spacing w:line="240" w:lineRule="auto"/>
        <w:jc w:val="both"/>
        <w:rPr>
          <w:rFonts w:ascii="Arial" w:hAnsi="Arial" w:cs="Arial"/>
        </w:rPr>
      </w:pPr>
    </w:p>
    <w:p w:rsidR="00DE4F1E" w:rsidRDefault="00DE4F1E" w:rsidP="0060403B">
      <w:pPr>
        <w:pStyle w:val="ListParagraph"/>
        <w:spacing w:after="240" w:line="240" w:lineRule="auto"/>
        <w:jc w:val="both"/>
        <w:rPr>
          <w:rFonts w:ascii="Arial" w:hAnsi="Arial" w:cs="Arial"/>
        </w:rPr>
      </w:pPr>
      <w:r w:rsidRPr="00D5016E">
        <w:rPr>
          <w:rFonts w:ascii="Arial" w:hAnsi="Arial" w:cs="Arial"/>
        </w:rPr>
        <w:t>The foregoing should not be construed to alter or affect the deposit obligations of former self-insured employers as required by Section 3702 of the Labor Code.</w:t>
      </w:r>
    </w:p>
    <w:p w:rsidR="00DE4F1E" w:rsidRDefault="00DE4F1E" w:rsidP="00DE4F1E">
      <w:pPr>
        <w:pStyle w:val="ListParagraph"/>
        <w:spacing w:line="240" w:lineRule="auto"/>
        <w:jc w:val="both"/>
        <w:rPr>
          <w:rFonts w:ascii="Arial" w:hAnsi="Arial" w:cs="Arial"/>
          <w:b/>
        </w:rPr>
      </w:pPr>
    </w:p>
    <w:p w:rsidR="00DE4F1E" w:rsidRDefault="00DE4F1E" w:rsidP="0060403B">
      <w:pPr>
        <w:pStyle w:val="ListParagraph"/>
        <w:numPr>
          <w:ilvl w:val="0"/>
          <w:numId w:val="1"/>
        </w:numPr>
        <w:spacing w:after="0" w:line="240" w:lineRule="auto"/>
        <w:jc w:val="both"/>
        <w:rPr>
          <w:rFonts w:ascii="Arial" w:hAnsi="Arial" w:cs="Arial"/>
          <w:b/>
        </w:rPr>
      </w:pPr>
      <w:r>
        <w:rPr>
          <w:rFonts w:ascii="Arial" w:hAnsi="Arial" w:cs="Arial"/>
          <w:b/>
        </w:rPr>
        <w:t>Published List of Insurers or Reinsurers Authorized to Reinsure the Injury, Disablement, or Death Portions of Workers’ Compensation Policies, pursuant to CICS 11691.3:</w:t>
      </w:r>
    </w:p>
    <w:p w:rsidR="0060403B" w:rsidRPr="0060403B" w:rsidRDefault="0060403B" w:rsidP="0060403B">
      <w:pPr>
        <w:pStyle w:val="ListParagraph"/>
        <w:spacing w:after="0" w:line="240" w:lineRule="auto"/>
        <w:jc w:val="both"/>
        <w:rPr>
          <w:rFonts w:ascii="Arial" w:hAnsi="Arial" w:cs="Arial"/>
          <w:b/>
        </w:rPr>
      </w:pPr>
    </w:p>
    <w:p w:rsidR="00DE4F1E" w:rsidRDefault="00DE4F1E" w:rsidP="00534471">
      <w:pPr>
        <w:pStyle w:val="ListParagraph"/>
        <w:spacing w:after="360" w:line="240" w:lineRule="auto"/>
        <w:jc w:val="both"/>
        <w:rPr>
          <w:rFonts w:ascii="Arial" w:hAnsi="Arial" w:cs="Arial"/>
        </w:rPr>
      </w:pPr>
      <w:r w:rsidRPr="00D5016E">
        <w:rPr>
          <w:rFonts w:ascii="Arial" w:hAnsi="Arial" w:cs="Arial"/>
        </w:rPr>
        <w:t>The commissioner shall establish a list of all insurers or reinsurers authorized to reinsure the injury, disablement, or death portions of policies of workers’ compensation insurance under the class of disability insurance.  The commissioner shall publish a master list of those insurers or reinsurers at least semiannually.  Any insurer or reinsurer providing the notification and deposit required by CICS 11691, shall be added by addendum to the list at the time of approval, and shall be incorporated into the master list at the next date of publication.  The list and addenda required by this section shall also contain a notice that if an insurer enters into a contract of reinsurance with an insurer or reinsurer reinsuring the injury, disablement, or death portions of policies of workers’ compensation insurance under the class of disability insurance that is not authorized pursuant to this section, the ceding insurer may not be able to claim that reinsurance for reserve credit.</w:t>
      </w:r>
    </w:p>
    <w:p w:rsidR="0060403B" w:rsidRDefault="0060403B" w:rsidP="00DE4F1E">
      <w:pPr>
        <w:pStyle w:val="ListParagraph"/>
        <w:spacing w:line="240" w:lineRule="auto"/>
        <w:jc w:val="both"/>
        <w:rPr>
          <w:rFonts w:ascii="Arial" w:hAnsi="Arial" w:cs="Arial"/>
          <w:b/>
        </w:rPr>
      </w:pPr>
    </w:p>
    <w:p w:rsidR="00072688" w:rsidRPr="006D39A8" w:rsidRDefault="00072688" w:rsidP="006D39A8">
      <w:pPr>
        <w:spacing w:line="240" w:lineRule="auto"/>
        <w:jc w:val="both"/>
        <w:rPr>
          <w:rFonts w:ascii="Arial" w:hAnsi="Arial" w:cs="Arial"/>
          <w:b/>
        </w:rPr>
      </w:pPr>
    </w:p>
    <w:p w:rsidR="00DE4F1E" w:rsidRDefault="00DE4F1E" w:rsidP="00DE4F1E">
      <w:pPr>
        <w:pStyle w:val="ListParagraph"/>
        <w:numPr>
          <w:ilvl w:val="0"/>
          <w:numId w:val="1"/>
        </w:numPr>
        <w:spacing w:after="0" w:line="240" w:lineRule="auto"/>
        <w:jc w:val="both"/>
        <w:rPr>
          <w:rFonts w:ascii="Arial" w:hAnsi="Arial" w:cs="Arial"/>
          <w:b/>
        </w:rPr>
      </w:pPr>
      <w:r>
        <w:rPr>
          <w:rFonts w:ascii="Arial" w:hAnsi="Arial" w:cs="Arial"/>
          <w:b/>
        </w:rPr>
        <w:t>Required Reports to be Filed:</w:t>
      </w:r>
    </w:p>
    <w:p w:rsidR="00692393" w:rsidRDefault="00692393" w:rsidP="00692393">
      <w:pPr>
        <w:pStyle w:val="ListParagraph"/>
        <w:spacing w:after="0" w:line="240" w:lineRule="auto"/>
        <w:jc w:val="both"/>
        <w:rPr>
          <w:rFonts w:ascii="Arial" w:hAnsi="Arial" w:cs="Arial"/>
          <w:b/>
        </w:rPr>
      </w:pPr>
    </w:p>
    <w:p w:rsidR="00DE4F1E" w:rsidRDefault="00DE4F1E" w:rsidP="00DE4F1E">
      <w:pPr>
        <w:pStyle w:val="ListParagraph"/>
        <w:spacing w:after="0" w:line="240" w:lineRule="auto"/>
        <w:jc w:val="both"/>
        <w:rPr>
          <w:rFonts w:ascii="Arial" w:hAnsi="Arial" w:cs="Arial"/>
        </w:rPr>
      </w:pPr>
      <w:r w:rsidRPr="00D5016E">
        <w:rPr>
          <w:rFonts w:ascii="Arial" w:hAnsi="Arial" w:cs="Arial"/>
        </w:rPr>
        <w:t>CICS 11691 require the following workers’ compensation reports to be filed by life insurers reinsuring the injury, disablement or death portion of policies of workers’ compensation insurance under the class of disability insurance.</w:t>
      </w:r>
    </w:p>
    <w:p w:rsidR="00DE4F1E" w:rsidRPr="00D5016E" w:rsidRDefault="00DE4F1E" w:rsidP="00DE4F1E">
      <w:pPr>
        <w:pStyle w:val="ListParagraph"/>
        <w:spacing w:after="0" w:line="240" w:lineRule="auto"/>
        <w:jc w:val="both"/>
        <w:rPr>
          <w:rFonts w:ascii="Arial" w:hAnsi="Arial" w:cs="Arial"/>
        </w:rPr>
      </w:pPr>
    </w:p>
    <w:p w:rsidR="00DE4F1E" w:rsidRDefault="00DE4F1E" w:rsidP="00DE4F1E">
      <w:pPr>
        <w:pStyle w:val="ListParagraph"/>
        <w:spacing w:after="0" w:line="240" w:lineRule="auto"/>
        <w:jc w:val="both"/>
        <w:rPr>
          <w:rFonts w:ascii="Arial" w:hAnsi="Arial" w:cs="Arial"/>
        </w:rPr>
      </w:pPr>
      <w:r w:rsidRPr="00D5016E">
        <w:rPr>
          <w:rFonts w:ascii="Arial" w:hAnsi="Arial" w:cs="Arial"/>
        </w:rPr>
        <w:t>The report must be in the same format as the following Schedules, Exhibits and Parts of the Property and Casualty Statutory Annual Statement:</w:t>
      </w:r>
    </w:p>
    <w:p w:rsidR="00AC1617" w:rsidRPr="00D5016E" w:rsidRDefault="00AC1617" w:rsidP="00DE4F1E">
      <w:pPr>
        <w:pStyle w:val="ListParagraph"/>
        <w:spacing w:after="0" w:line="240" w:lineRule="auto"/>
        <w:jc w:val="both"/>
        <w:rPr>
          <w:rFonts w:ascii="Arial" w:hAnsi="Arial" w:cs="Arial"/>
        </w:rPr>
      </w:pP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Underwriting and Investment Exhibit, Part 1 – Premiums Earned</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Underwriting and Investment Exhibit, Part 1B – Premiums Written</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Underwriting and Investment Exhibit, Part 2 – Losses Paid and Incurred</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Underwriting and Investment Exhibit, Part 2A – Unpaid Losses and Loss Adjustment Expenses</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Schedule F- Parts 1 – 4 Assumed and Ceded Reinsurance as of December 31 of the preceding year</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Schedule P – Part 1D, Part 2D, Part 3D, Part 4D, Part 5D, and Part 6D</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Special California Schedule P – Part I through Part VII</w:t>
      </w:r>
    </w:p>
    <w:p w:rsidR="00DE4F1E" w:rsidRPr="00D5016E" w:rsidRDefault="00DE4F1E" w:rsidP="00DE4F1E">
      <w:pPr>
        <w:pStyle w:val="ListParagraph"/>
        <w:numPr>
          <w:ilvl w:val="0"/>
          <w:numId w:val="2"/>
        </w:numPr>
        <w:spacing w:after="0" w:line="240" w:lineRule="auto"/>
        <w:jc w:val="both"/>
        <w:rPr>
          <w:rFonts w:ascii="Arial" w:hAnsi="Arial" w:cs="Arial"/>
        </w:rPr>
      </w:pPr>
      <w:r w:rsidRPr="00D5016E">
        <w:rPr>
          <w:rFonts w:ascii="Arial" w:hAnsi="Arial" w:cs="Arial"/>
        </w:rPr>
        <w:t>Form A-110 – Valuation of all Securities on Workers' Compensation Deposit with the State of California</w:t>
      </w:r>
    </w:p>
    <w:p w:rsidR="00DE4F1E" w:rsidRPr="00D5016E" w:rsidRDefault="00DE4F1E" w:rsidP="00DE4F1E">
      <w:pPr>
        <w:spacing w:after="0" w:line="240" w:lineRule="auto"/>
        <w:ind w:left="720"/>
        <w:jc w:val="both"/>
        <w:rPr>
          <w:rFonts w:ascii="Arial" w:hAnsi="Arial" w:cs="Arial"/>
        </w:rPr>
      </w:pPr>
    </w:p>
    <w:p w:rsidR="0060403B" w:rsidRDefault="00DE4F1E" w:rsidP="0060403B">
      <w:pPr>
        <w:spacing w:after="6840" w:line="240" w:lineRule="auto"/>
        <w:ind w:left="720"/>
        <w:jc w:val="both"/>
        <w:rPr>
          <w:rFonts w:ascii="Arial" w:eastAsia="Times New Roman" w:hAnsi="Arial" w:cs="Arial"/>
        </w:rPr>
      </w:pPr>
      <w:r w:rsidRPr="00D5016E">
        <w:rPr>
          <w:rFonts w:ascii="Arial" w:eastAsia="Times New Roman" w:hAnsi="Arial" w:cs="Arial"/>
        </w:rPr>
        <w:t>Failure to file the required documents may result in the insurer or reinsurer to be taken off the Published List.</w:t>
      </w:r>
    </w:p>
    <w:p w:rsidR="0060403B" w:rsidRPr="00EA3EFA" w:rsidRDefault="0060403B" w:rsidP="00072688">
      <w:pPr>
        <w:pStyle w:val="Heading1"/>
        <w:spacing w:before="240" w:after="240"/>
      </w:pPr>
      <w:r>
        <w:lastRenderedPageBreak/>
        <w:t>Instructions</w:t>
      </w:r>
    </w:p>
    <w:p w:rsidR="0060403B" w:rsidRDefault="0060403B" w:rsidP="0060403B">
      <w:pPr>
        <w:pStyle w:val="ListParagraph"/>
        <w:numPr>
          <w:ilvl w:val="0"/>
          <w:numId w:val="3"/>
        </w:numPr>
        <w:spacing w:after="0" w:line="240" w:lineRule="auto"/>
        <w:rPr>
          <w:rFonts w:ascii="Arial" w:hAnsi="Arial" w:cs="Arial"/>
          <w:b/>
        </w:rPr>
      </w:pPr>
      <w:r>
        <w:rPr>
          <w:rFonts w:ascii="Arial" w:hAnsi="Arial" w:cs="Arial"/>
          <w:b/>
        </w:rPr>
        <w:t>Filing the Notice Pursuant to California Insurance Code Section (“CICS”) 11691(b):</w:t>
      </w:r>
    </w:p>
    <w:p w:rsidR="00AC18C8" w:rsidRPr="00D5016E" w:rsidRDefault="00AC18C8" w:rsidP="00AC18C8">
      <w:pPr>
        <w:pStyle w:val="ListParagraph"/>
        <w:spacing w:after="0" w:line="240" w:lineRule="auto"/>
        <w:rPr>
          <w:rFonts w:ascii="Arial" w:hAnsi="Arial" w:cs="Arial"/>
          <w:b/>
        </w:rPr>
      </w:pPr>
    </w:p>
    <w:p w:rsidR="00AC18C8" w:rsidRDefault="0060403B" w:rsidP="00AC18C8">
      <w:pPr>
        <w:spacing w:line="240" w:lineRule="auto"/>
        <w:ind w:left="720"/>
        <w:jc w:val="both"/>
        <w:rPr>
          <w:rFonts w:ascii="Arial" w:hAnsi="Arial" w:cs="Arial"/>
        </w:rPr>
      </w:pPr>
      <w:r w:rsidRPr="00FB540B">
        <w:rPr>
          <w:rFonts w:ascii="Arial" w:hAnsi="Arial" w:cs="Arial"/>
        </w:rPr>
        <w:t xml:space="preserve">If you are required to file the Notice pursuant to CICS 11691(b), please </w:t>
      </w:r>
      <w:r w:rsidR="00AC18C8">
        <w:rPr>
          <w:rFonts w:ascii="Arial" w:hAnsi="Arial" w:cs="Arial"/>
        </w:rPr>
        <w:t>e-mail</w:t>
      </w:r>
      <w:r w:rsidRPr="00FB540B">
        <w:rPr>
          <w:rFonts w:ascii="Arial" w:hAnsi="Arial" w:cs="Arial"/>
        </w:rPr>
        <w:t xml:space="preserve"> the Notice along with a complete Form A110 Valuation of Securities to</w:t>
      </w:r>
      <w:r w:rsidR="00AC18C8">
        <w:rPr>
          <w:rFonts w:ascii="Arial" w:hAnsi="Arial" w:cs="Arial"/>
        </w:rPr>
        <w:t xml:space="preserve"> </w:t>
      </w:r>
      <w:hyperlink r:id="rId8" w:history="1">
        <w:r w:rsidR="00AC18C8" w:rsidRPr="00A65DD8">
          <w:rPr>
            <w:rStyle w:val="Hyperlink"/>
            <w:rFonts w:ascii="Arial" w:hAnsi="Arial" w:cs="Arial"/>
          </w:rPr>
          <w:t>FADWC@insurance.ca.gov</w:t>
        </w:r>
      </w:hyperlink>
      <w:r w:rsidR="00AC18C8" w:rsidRPr="00FB540B">
        <w:rPr>
          <w:rFonts w:ascii="Arial" w:hAnsi="Arial" w:cs="Arial"/>
        </w:rPr>
        <w:t>.</w:t>
      </w:r>
    </w:p>
    <w:p w:rsidR="0060403B" w:rsidRPr="00AC18C8" w:rsidRDefault="0060403B" w:rsidP="00AC18C8">
      <w:pPr>
        <w:pStyle w:val="ListParagraph"/>
        <w:numPr>
          <w:ilvl w:val="0"/>
          <w:numId w:val="3"/>
        </w:numPr>
        <w:spacing w:line="240" w:lineRule="auto"/>
        <w:jc w:val="both"/>
        <w:rPr>
          <w:rFonts w:ascii="Arial" w:hAnsi="Arial" w:cs="Arial"/>
          <w:b/>
        </w:rPr>
      </w:pPr>
      <w:r w:rsidRPr="00AC18C8">
        <w:rPr>
          <w:rFonts w:ascii="Arial" w:hAnsi="Arial" w:cs="Arial"/>
          <w:b/>
        </w:rPr>
        <w:t xml:space="preserve">If your company has previously filed a Notice (FAD 151 / Form 151) and is published on the </w:t>
      </w:r>
      <w:hyperlink r:id="rId9" w:history="1">
        <w:r w:rsidRPr="00AC18C8">
          <w:rPr>
            <w:rStyle w:val="Hyperlink"/>
            <w:rFonts w:ascii="Arial" w:hAnsi="Arial" w:cs="Arial"/>
            <w:b/>
          </w:rPr>
          <w:t>List of Insurers or Reinsurers Authorized to Reinsure the Injury, Disablement, or Death Portions of Workers' Compensation Policies</w:t>
        </w:r>
      </w:hyperlink>
      <w:r w:rsidRPr="00AC18C8">
        <w:rPr>
          <w:rFonts w:ascii="Arial" w:hAnsi="Arial" w:cs="Arial"/>
          <w:b/>
        </w:rPr>
        <w:t>, the company is NOT required to file a Notice going forward.</w:t>
      </w:r>
    </w:p>
    <w:p w:rsidR="0060403B" w:rsidRPr="00326AFF" w:rsidRDefault="0060403B" w:rsidP="0060403B">
      <w:pPr>
        <w:pStyle w:val="ListParagraph"/>
        <w:spacing w:line="240" w:lineRule="auto"/>
        <w:jc w:val="both"/>
        <w:rPr>
          <w:rFonts w:ascii="Arial" w:hAnsi="Arial" w:cs="Arial"/>
          <w:b/>
        </w:rPr>
      </w:pPr>
    </w:p>
    <w:p w:rsidR="0060403B" w:rsidRDefault="0060403B" w:rsidP="0060403B">
      <w:pPr>
        <w:pStyle w:val="ListParagraph"/>
        <w:numPr>
          <w:ilvl w:val="0"/>
          <w:numId w:val="3"/>
        </w:numPr>
        <w:spacing w:after="0" w:line="240" w:lineRule="auto"/>
        <w:jc w:val="both"/>
        <w:rPr>
          <w:rFonts w:ascii="Arial" w:hAnsi="Arial" w:cs="Arial"/>
          <w:b/>
        </w:rPr>
      </w:pPr>
      <w:r>
        <w:rPr>
          <w:rFonts w:ascii="Arial" w:hAnsi="Arial" w:cs="Arial"/>
          <w:b/>
        </w:rPr>
        <w:t>Removing Company from the Published List:</w:t>
      </w:r>
    </w:p>
    <w:p w:rsidR="00AC18C8" w:rsidRPr="00AC18C8" w:rsidRDefault="00AC18C8" w:rsidP="00AC18C8">
      <w:pPr>
        <w:pStyle w:val="ListParagraph"/>
        <w:rPr>
          <w:rFonts w:ascii="Arial" w:hAnsi="Arial" w:cs="Arial"/>
          <w:b/>
        </w:rPr>
      </w:pPr>
    </w:p>
    <w:p w:rsidR="0060403B" w:rsidRDefault="0060403B" w:rsidP="0060403B">
      <w:pPr>
        <w:pStyle w:val="ListParagraph"/>
        <w:spacing w:line="240" w:lineRule="auto"/>
        <w:jc w:val="both"/>
        <w:rPr>
          <w:rFonts w:ascii="Arial" w:hAnsi="Arial" w:cs="Arial"/>
        </w:rPr>
      </w:pPr>
      <w:r w:rsidRPr="00FB540B">
        <w:rPr>
          <w:rFonts w:ascii="Arial" w:hAnsi="Arial" w:cs="Arial"/>
        </w:rPr>
        <w:t>To remove your company from the published List of Insurers or Reinsurers Authorized to Reinsure the Injury, Disablement, or Death Portions of Workers' Compensation Policies, please submit a formal notice/request explaining the reason your company should be taken off the list.  Our financial analyst may contact you for additional information when they review the request.  Once the review is completed, your company may be removed from the list.  Please be advised that the updated list will be reflected at the next date of publication, which occurs semiannually, pursuant to CICS 11691.3.</w:t>
      </w:r>
    </w:p>
    <w:p w:rsidR="0060403B" w:rsidRPr="00326AFF" w:rsidRDefault="0060403B" w:rsidP="0060403B">
      <w:pPr>
        <w:pStyle w:val="ListParagraph"/>
        <w:spacing w:line="240" w:lineRule="auto"/>
        <w:jc w:val="both"/>
        <w:rPr>
          <w:rFonts w:ascii="Arial" w:hAnsi="Arial" w:cs="Arial"/>
        </w:rPr>
      </w:pPr>
    </w:p>
    <w:p w:rsidR="0060403B" w:rsidRDefault="0060403B" w:rsidP="0060403B">
      <w:pPr>
        <w:pStyle w:val="ListParagraph"/>
        <w:spacing w:line="240" w:lineRule="auto"/>
        <w:jc w:val="both"/>
        <w:rPr>
          <w:rFonts w:ascii="Arial" w:hAnsi="Arial" w:cs="Arial"/>
          <w:b/>
        </w:rPr>
      </w:pPr>
      <w:r w:rsidRPr="00FB540B">
        <w:rPr>
          <w:rFonts w:ascii="Arial" w:hAnsi="Arial" w:cs="Arial"/>
        </w:rPr>
        <w:t>If your company is taken off the List of Insurers or Reinsurers Authorized to Reinsure the Injury, Disablement, or Death Portions of Workers' Compensation Policies, your company will no longer be authorized, pursuant to CICS 11691.3, to reinsure the injury, disablement, or death portions of policies of workers' compensation insurance under the class of disability insurance and thus, the ceding insurer may not claim that reinsurance for reserve credit.</w:t>
      </w:r>
    </w:p>
    <w:p w:rsidR="0060403B" w:rsidRDefault="0060403B" w:rsidP="00534471">
      <w:pPr>
        <w:spacing w:after="3000" w:line="240" w:lineRule="auto"/>
        <w:rPr>
          <w:rFonts w:ascii="Arial" w:hAnsi="Arial" w:cs="Arial"/>
        </w:rPr>
      </w:pPr>
      <w:r w:rsidRPr="00FB540B">
        <w:rPr>
          <w:rFonts w:ascii="Arial" w:hAnsi="Arial" w:cs="Arial"/>
        </w:rPr>
        <w:t xml:space="preserve">For questions concerning the completion of this form, please contact the Workers' </w:t>
      </w:r>
      <w:r w:rsidR="00AC18C8">
        <w:rPr>
          <w:rFonts w:ascii="Arial" w:hAnsi="Arial" w:cs="Arial"/>
        </w:rPr>
        <w:t>C</w:t>
      </w:r>
      <w:r w:rsidRPr="00FB540B">
        <w:rPr>
          <w:rFonts w:ascii="Arial" w:hAnsi="Arial" w:cs="Arial"/>
        </w:rPr>
        <w:t>ompensation Deposit Revi</w:t>
      </w:r>
      <w:r>
        <w:rPr>
          <w:rFonts w:ascii="Arial" w:hAnsi="Arial" w:cs="Arial"/>
        </w:rPr>
        <w:t xml:space="preserve">ew Facilitator </w:t>
      </w:r>
      <w:r w:rsidR="00AC18C8">
        <w:rPr>
          <w:rFonts w:ascii="Arial" w:hAnsi="Arial" w:cs="Arial"/>
        </w:rPr>
        <w:t xml:space="preserve">at </w:t>
      </w:r>
      <w:hyperlink r:id="rId10" w:history="1">
        <w:r w:rsidR="00AC18C8" w:rsidRPr="00A65DD8">
          <w:rPr>
            <w:rStyle w:val="Hyperlink"/>
            <w:rFonts w:ascii="Arial" w:hAnsi="Arial" w:cs="Arial"/>
          </w:rPr>
          <w:t>FADWC@insurance.ca.gov</w:t>
        </w:r>
      </w:hyperlink>
      <w:r w:rsidR="00DE4ECB" w:rsidRPr="00DE4ECB">
        <w:rPr>
          <w:rStyle w:val="Hyperlink"/>
          <w:rFonts w:ascii="Arial" w:hAnsi="Arial" w:cs="Arial"/>
          <w:u w:val="none"/>
        </w:rPr>
        <w:t>.</w:t>
      </w:r>
    </w:p>
    <w:p w:rsidR="00F16C72" w:rsidRDefault="00F16C72">
      <w:pPr>
        <w:rPr>
          <w:rFonts w:ascii="Arial" w:eastAsiaTheme="majorEastAsia" w:hAnsi="Arial" w:cstheme="majorBidi"/>
          <w:b/>
          <w:bCs/>
          <w:sz w:val="28"/>
          <w:szCs w:val="28"/>
        </w:rPr>
      </w:pPr>
      <w:r>
        <w:br w:type="page"/>
      </w:r>
    </w:p>
    <w:p w:rsidR="00072688" w:rsidRDefault="00072688" w:rsidP="00072688">
      <w:pPr>
        <w:pStyle w:val="Heading1"/>
        <w:spacing w:after="240"/>
      </w:pPr>
      <w:r>
        <w:lastRenderedPageBreak/>
        <w:t>Form 151</w:t>
      </w:r>
    </w:p>
    <w:p w:rsidR="0060403B" w:rsidRDefault="0060403B" w:rsidP="00644620">
      <w:pPr>
        <w:tabs>
          <w:tab w:val="left" w:pos="3600"/>
        </w:tabs>
        <w:spacing w:after="240" w:line="240" w:lineRule="auto"/>
        <w:ind w:left="900" w:hanging="900"/>
        <w:rPr>
          <w:rFonts w:ascii="Arial" w:hAnsi="Arial" w:cs="Arial"/>
          <w:u w:val="single"/>
        </w:rPr>
      </w:pPr>
      <w:r>
        <w:rPr>
          <w:rFonts w:ascii="Arial" w:hAnsi="Arial" w:cs="Arial"/>
        </w:rPr>
        <w:t>Date:</w:t>
      </w:r>
      <w:r w:rsidRPr="004E22B9">
        <w:rPr>
          <w:rFonts w:ascii="Arial" w:hAnsi="Arial" w:cs="Arial"/>
        </w:rPr>
        <w:tab/>
      </w:r>
      <w:r w:rsidRPr="00AE70C9">
        <w:rPr>
          <w:rFonts w:ascii="Arial" w:hAnsi="Arial" w:cs="Arial"/>
          <w:u w:val="single"/>
          <w:shd w:val="clear" w:color="auto" w:fill="FABF8F" w:themeFill="accent6" w:themeFillTint="99"/>
        </w:rPr>
        <w:tab/>
      </w:r>
    </w:p>
    <w:p w:rsidR="0060403B" w:rsidRDefault="0060403B" w:rsidP="00644620">
      <w:pPr>
        <w:spacing w:after="0" w:line="240" w:lineRule="auto"/>
        <w:ind w:left="900" w:hanging="900"/>
        <w:rPr>
          <w:rFonts w:ascii="Arial" w:hAnsi="Arial" w:cs="Arial"/>
        </w:rPr>
      </w:pPr>
      <w:r>
        <w:rPr>
          <w:rFonts w:ascii="Arial" w:hAnsi="Arial" w:cs="Arial"/>
        </w:rPr>
        <w:t>To:</w:t>
      </w:r>
      <w:r>
        <w:rPr>
          <w:rFonts w:ascii="Arial" w:hAnsi="Arial" w:cs="Arial"/>
        </w:rPr>
        <w:tab/>
        <w:t>California Department of Insurance</w:t>
      </w:r>
    </w:p>
    <w:p w:rsidR="0060403B" w:rsidRDefault="0060403B" w:rsidP="00644620">
      <w:pPr>
        <w:spacing w:after="0" w:line="240" w:lineRule="auto"/>
        <w:ind w:left="900" w:hanging="900"/>
        <w:rPr>
          <w:rFonts w:ascii="Arial" w:hAnsi="Arial" w:cs="Arial"/>
        </w:rPr>
      </w:pPr>
      <w:r>
        <w:rPr>
          <w:rFonts w:ascii="Arial" w:hAnsi="Arial" w:cs="Arial"/>
        </w:rPr>
        <w:tab/>
        <w:t>Financial Analysis Division</w:t>
      </w:r>
    </w:p>
    <w:p w:rsidR="00921370" w:rsidRDefault="00921370" w:rsidP="00644620">
      <w:pPr>
        <w:spacing w:after="0" w:line="240" w:lineRule="auto"/>
        <w:ind w:left="900" w:hanging="900"/>
        <w:rPr>
          <w:rFonts w:ascii="Arial" w:hAnsi="Arial" w:cs="Arial"/>
        </w:rPr>
      </w:pPr>
      <w:r>
        <w:rPr>
          <w:rFonts w:ascii="Arial" w:hAnsi="Arial" w:cs="Arial"/>
        </w:rPr>
        <w:tab/>
        <w:t>300 S. Spring St., South Tower</w:t>
      </w:r>
    </w:p>
    <w:p w:rsidR="00921370" w:rsidRDefault="00921370" w:rsidP="00644620">
      <w:pPr>
        <w:spacing w:after="0" w:line="240" w:lineRule="auto"/>
        <w:ind w:left="900" w:hanging="900"/>
        <w:rPr>
          <w:rFonts w:ascii="Arial" w:hAnsi="Arial" w:cs="Arial"/>
        </w:rPr>
      </w:pPr>
      <w:r>
        <w:rPr>
          <w:rFonts w:ascii="Arial" w:hAnsi="Arial" w:cs="Arial"/>
        </w:rPr>
        <w:tab/>
        <w:t>Los Angeles, CA 90013</w:t>
      </w:r>
    </w:p>
    <w:p w:rsidR="00F16C72" w:rsidRDefault="0060403B" w:rsidP="00644620">
      <w:pPr>
        <w:spacing w:after="0" w:line="240" w:lineRule="auto"/>
        <w:ind w:left="900" w:hanging="900"/>
        <w:rPr>
          <w:rFonts w:ascii="Arial" w:hAnsi="Arial" w:cs="Arial"/>
        </w:rPr>
      </w:pPr>
      <w:r>
        <w:rPr>
          <w:rFonts w:ascii="Arial" w:hAnsi="Arial" w:cs="Arial"/>
        </w:rPr>
        <w:tab/>
      </w:r>
      <w:hyperlink r:id="rId11" w:history="1">
        <w:r w:rsidR="00F16C72" w:rsidRPr="00A65DD8">
          <w:rPr>
            <w:rStyle w:val="Hyperlink"/>
            <w:rFonts w:ascii="Arial" w:hAnsi="Arial" w:cs="Arial"/>
          </w:rPr>
          <w:t>FADWC@insurance.ca.gov</w:t>
        </w:r>
      </w:hyperlink>
    </w:p>
    <w:p w:rsidR="00F16C72" w:rsidRDefault="00F16C72" w:rsidP="00F16C72">
      <w:pPr>
        <w:tabs>
          <w:tab w:val="left" w:pos="1440"/>
          <w:tab w:val="left" w:pos="3600"/>
        </w:tabs>
        <w:spacing w:after="0" w:line="240" w:lineRule="auto"/>
        <w:rPr>
          <w:rFonts w:ascii="Arial" w:hAnsi="Arial" w:cs="Arial"/>
        </w:rPr>
      </w:pPr>
    </w:p>
    <w:p w:rsidR="00F16C72" w:rsidRDefault="00F16C72" w:rsidP="00F16C72">
      <w:pPr>
        <w:tabs>
          <w:tab w:val="left" w:pos="1440"/>
          <w:tab w:val="left" w:pos="3600"/>
        </w:tabs>
        <w:spacing w:after="0" w:line="240" w:lineRule="auto"/>
        <w:rPr>
          <w:rFonts w:ascii="Arial" w:hAnsi="Arial" w:cs="Arial"/>
        </w:rPr>
      </w:pPr>
    </w:p>
    <w:p w:rsidR="00F16C72" w:rsidRDefault="0060403B" w:rsidP="00F16C72">
      <w:pPr>
        <w:tabs>
          <w:tab w:val="left" w:pos="3600"/>
        </w:tabs>
        <w:spacing w:after="0" w:line="240" w:lineRule="auto"/>
        <w:ind w:left="900" w:hanging="900"/>
        <w:jc w:val="both"/>
        <w:rPr>
          <w:rFonts w:ascii="Arial" w:hAnsi="Arial" w:cs="Arial"/>
        </w:rPr>
      </w:pPr>
      <w:r>
        <w:rPr>
          <w:rFonts w:ascii="Arial" w:hAnsi="Arial" w:cs="Arial"/>
        </w:rPr>
        <w:t>Subject:</w:t>
      </w:r>
      <w:r>
        <w:rPr>
          <w:rFonts w:ascii="Arial" w:hAnsi="Arial" w:cs="Arial"/>
        </w:rPr>
        <w:tab/>
        <w:t>Notice pursuant to California Insurance Code Section (CICS) 11691(b) (deposit and reporting requirements for insurers reinsuring injury, disablement or death portions of Workers’ Compensation Insurance)</w:t>
      </w:r>
    </w:p>
    <w:p w:rsidR="00F16C72" w:rsidRDefault="00F16C72" w:rsidP="00F16C72">
      <w:pPr>
        <w:tabs>
          <w:tab w:val="left" w:pos="3600"/>
        </w:tabs>
        <w:spacing w:after="0" w:line="240" w:lineRule="auto"/>
        <w:ind w:left="900" w:hanging="900"/>
        <w:jc w:val="both"/>
        <w:rPr>
          <w:rFonts w:ascii="Arial" w:hAnsi="Arial" w:cs="Arial"/>
        </w:rPr>
      </w:pPr>
    </w:p>
    <w:p w:rsidR="00F16C72" w:rsidRDefault="00F16C72" w:rsidP="00F16C72">
      <w:pPr>
        <w:tabs>
          <w:tab w:val="left" w:pos="1440"/>
          <w:tab w:val="left" w:pos="3600"/>
        </w:tabs>
        <w:spacing w:after="0" w:line="240" w:lineRule="auto"/>
        <w:jc w:val="both"/>
        <w:rPr>
          <w:rFonts w:ascii="Arial" w:hAnsi="Arial" w:cs="Arial"/>
        </w:rPr>
      </w:pPr>
    </w:p>
    <w:p w:rsidR="00AE70C9" w:rsidRDefault="00AE70C9" w:rsidP="00F16C72">
      <w:pPr>
        <w:tabs>
          <w:tab w:val="left" w:pos="1440"/>
          <w:tab w:val="left" w:pos="3600"/>
        </w:tabs>
        <w:spacing w:after="0" w:line="240" w:lineRule="auto"/>
        <w:jc w:val="both"/>
        <w:rPr>
          <w:rFonts w:ascii="Arial" w:hAnsi="Arial" w:cs="Arial"/>
        </w:rPr>
      </w:pPr>
      <w:r>
        <w:rPr>
          <w:rFonts w:ascii="Arial" w:hAnsi="Arial" w:cs="Arial"/>
        </w:rPr>
        <w:t>Pursuant to the notice requirements of CICS 11691(b), please be advised that the insurer identified below intends to reinsure under the class of disability insurance, the injury disablement, or death portions of policies of workers’ compensation insurance written subject to the workers’ compensation laws of California.</w:t>
      </w:r>
    </w:p>
    <w:p w:rsidR="00F16C72" w:rsidRDefault="00F16C72" w:rsidP="00F16C72">
      <w:pPr>
        <w:tabs>
          <w:tab w:val="left" w:pos="1440"/>
          <w:tab w:val="left" w:pos="3600"/>
        </w:tabs>
        <w:spacing w:after="0" w:line="240" w:lineRule="auto"/>
        <w:jc w:val="both"/>
        <w:rPr>
          <w:rFonts w:ascii="Arial" w:hAnsi="Arial" w:cs="Arial"/>
        </w:rPr>
      </w:pPr>
    </w:p>
    <w:tbl>
      <w:tblPr>
        <w:tblStyle w:val="TableGrid"/>
        <w:tblW w:w="0" w:type="auto"/>
        <w:jc w:val="center"/>
        <w:tblLook w:val="06A0" w:firstRow="1" w:lastRow="0" w:firstColumn="1" w:lastColumn="0" w:noHBand="1" w:noVBand="1"/>
        <w:tblDescription w:val="Form 151 Company Information"/>
      </w:tblPr>
      <w:tblGrid>
        <w:gridCol w:w="2592"/>
        <w:gridCol w:w="6624"/>
      </w:tblGrid>
      <w:tr w:rsidR="00566F6F" w:rsidTr="00792D88">
        <w:trPr>
          <w:tblHeader/>
          <w:jc w:val="center"/>
        </w:trPr>
        <w:tc>
          <w:tcPr>
            <w:tcW w:w="2592" w:type="dxa"/>
          </w:tcPr>
          <w:p w:rsidR="00566F6F" w:rsidRDefault="00566F6F" w:rsidP="00571535">
            <w:pPr>
              <w:tabs>
                <w:tab w:val="left" w:pos="2610"/>
                <w:tab w:val="right" w:leader="underscore" w:pos="9360"/>
              </w:tabs>
              <w:rPr>
                <w:rFonts w:ascii="Arial" w:hAnsi="Arial" w:cs="Arial"/>
              </w:rPr>
            </w:pPr>
          </w:p>
        </w:tc>
        <w:tc>
          <w:tcPr>
            <w:tcW w:w="6624" w:type="dxa"/>
            <w:shd w:val="clear" w:color="auto" w:fill="auto"/>
          </w:tcPr>
          <w:p w:rsidR="00566F6F" w:rsidRPr="00571535" w:rsidRDefault="00792D88" w:rsidP="00571535">
            <w:pPr>
              <w:tabs>
                <w:tab w:val="left" w:pos="2610"/>
                <w:tab w:val="right" w:leader="underscore" w:pos="9360"/>
              </w:tabs>
              <w:rPr>
                <w:rFonts w:ascii="Arial" w:hAnsi="Arial" w:cs="Arial"/>
              </w:rPr>
            </w:pPr>
            <w:r>
              <w:rPr>
                <w:rFonts w:ascii="Arial" w:hAnsi="Arial" w:cs="Arial"/>
              </w:rPr>
              <w:t>Enter Information Below:</w:t>
            </w:r>
          </w:p>
        </w:tc>
      </w:tr>
      <w:tr w:rsidR="00571535" w:rsidTr="00566F6F">
        <w:trPr>
          <w:tblHeade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NAIC Number:</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r w:rsidR="00571535" w:rsidTr="00566F6F">
        <w:trP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Mailing Address Line 1:</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r w:rsidR="00571535" w:rsidTr="00566F6F">
        <w:trP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Mailing Address Line 2:</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r w:rsidR="00571535" w:rsidTr="00566F6F">
        <w:trP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Contact Person:</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r w:rsidR="00571535" w:rsidTr="00566F6F">
        <w:trP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Position:</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r w:rsidR="00571535" w:rsidTr="00566F6F">
        <w:trP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Telephone Number:</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r w:rsidR="00571535" w:rsidTr="00566F6F">
        <w:trPr>
          <w:jc w:val="center"/>
        </w:trPr>
        <w:tc>
          <w:tcPr>
            <w:tcW w:w="2592" w:type="dxa"/>
          </w:tcPr>
          <w:p w:rsidR="00571535" w:rsidRPr="00571535" w:rsidRDefault="00571535" w:rsidP="00571535">
            <w:pPr>
              <w:tabs>
                <w:tab w:val="left" w:pos="2610"/>
                <w:tab w:val="right" w:leader="underscore" w:pos="9360"/>
              </w:tabs>
              <w:rPr>
                <w:rFonts w:ascii="Arial" w:hAnsi="Arial" w:cs="Arial"/>
              </w:rPr>
            </w:pPr>
            <w:r>
              <w:rPr>
                <w:rFonts w:ascii="Arial" w:hAnsi="Arial" w:cs="Arial"/>
              </w:rPr>
              <w:t>Email Address:</w:t>
            </w:r>
          </w:p>
        </w:tc>
        <w:tc>
          <w:tcPr>
            <w:tcW w:w="6624" w:type="dxa"/>
            <w:shd w:val="clear" w:color="auto" w:fill="FABF8F" w:themeFill="accent6" w:themeFillTint="99"/>
          </w:tcPr>
          <w:p w:rsidR="00571535" w:rsidRPr="00571535" w:rsidRDefault="00571535" w:rsidP="00571535">
            <w:pPr>
              <w:tabs>
                <w:tab w:val="left" w:pos="2610"/>
                <w:tab w:val="right" w:leader="underscore" w:pos="9360"/>
              </w:tabs>
              <w:rPr>
                <w:rFonts w:ascii="Arial" w:hAnsi="Arial" w:cs="Arial"/>
              </w:rPr>
            </w:pPr>
          </w:p>
        </w:tc>
      </w:tr>
    </w:tbl>
    <w:p w:rsidR="004E22B9" w:rsidRDefault="004E22B9" w:rsidP="00792D88">
      <w:pPr>
        <w:tabs>
          <w:tab w:val="right" w:leader="underscore" w:pos="2520"/>
          <w:tab w:val="left" w:pos="9360"/>
        </w:tabs>
        <w:spacing w:after="24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4068"/>
        <w:gridCol w:w="1890"/>
        <w:gridCol w:w="1710"/>
        <w:gridCol w:w="1530"/>
        <w:gridCol w:w="278"/>
      </w:tblGrid>
      <w:tr w:rsidR="00712363" w:rsidTr="00CF3356">
        <w:trPr>
          <w:trHeight w:hRule="exact" w:val="288"/>
        </w:trPr>
        <w:tc>
          <w:tcPr>
            <w:tcW w:w="4068" w:type="dxa"/>
          </w:tcPr>
          <w:p w:rsidR="00712363" w:rsidRDefault="00712363" w:rsidP="00AC1617">
            <w:pPr>
              <w:tabs>
                <w:tab w:val="left" w:pos="5850"/>
                <w:tab w:val="left" w:pos="9270"/>
              </w:tabs>
              <w:spacing w:after="480"/>
              <w:ind w:right="-17"/>
              <w:jc w:val="both"/>
              <w:rPr>
                <w:rFonts w:ascii="Arial" w:hAnsi="Arial" w:cs="Arial"/>
              </w:rPr>
            </w:pPr>
            <w:r>
              <w:rPr>
                <w:rFonts w:ascii="Arial" w:hAnsi="Arial" w:cs="Arial"/>
              </w:rPr>
              <w:t>I certify that deposits in the amount of $</w:t>
            </w:r>
          </w:p>
        </w:tc>
        <w:tc>
          <w:tcPr>
            <w:tcW w:w="1890" w:type="dxa"/>
            <w:tcBorders>
              <w:bottom w:val="single" w:sz="4" w:space="0" w:color="auto"/>
            </w:tcBorders>
            <w:shd w:val="clear" w:color="auto" w:fill="FABF8F" w:themeFill="accent6" w:themeFillTint="99"/>
          </w:tcPr>
          <w:p w:rsidR="00712363" w:rsidRDefault="00712363" w:rsidP="00EC72DA">
            <w:pPr>
              <w:tabs>
                <w:tab w:val="left" w:pos="5850"/>
                <w:tab w:val="left" w:pos="9270"/>
              </w:tabs>
              <w:spacing w:after="480"/>
              <w:jc w:val="both"/>
              <w:rPr>
                <w:rFonts w:ascii="Arial" w:hAnsi="Arial" w:cs="Arial"/>
              </w:rPr>
            </w:pPr>
          </w:p>
        </w:tc>
        <w:tc>
          <w:tcPr>
            <w:tcW w:w="1710" w:type="dxa"/>
          </w:tcPr>
          <w:p w:rsidR="00712363" w:rsidRDefault="00712363" w:rsidP="00EC72DA">
            <w:pPr>
              <w:tabs>
                <w:tab w:val="left" w:pos="5850"/>
                <w:tab w:val="left" w:pos="9270"/>
              </w:tabs>
              <w:spacing w:after="480"/>
              <w:jc w:val="both"/>
              <w:rPr>
                <w:rFonts w:ascii="Arial" w:hAnsi="Arial" w:cs="Arial"/>
              </w:rPr>
            </w:pPr>
            <w:r>
              <w:rPr>
                <w:rFonts w:ascii="Arial" w:hAnsi="Arial" w:cs="Arial"/>
              </w:rPr>
              <w:t>(valuation as of</w:t>
            </w:r>
          </w:p>
        </w:tc>
        <w:tc>
          <w:tcPr>
            <w:tcW w:w="1530" w:type="dxa"/>
            <w:tcBorders>
              <w:bottom w:val="single" w:sz="4" w:space="0" w:color="auto"/>
            </w:tcBorders>
            <w:shd w:val="clear" w:color="auto" w:fill="FABF8F" w:themeFill="accent6" w:themeFillTint="99"/>
          </w:tcPr>
          <w:p w:rsidR="00712363" w:rsidRDefault="00712363" w:rsidP="00EC72DA">
            <w:pPr>
              <w:tabs>
                <w:tab w:val="left" w:pos="5850"/>
                <w:tab w:val="left" w:pos="9270"/>
              </w:tabs>
              <w:spacing w:after="480"/>
              <w:jc w:val="both"/>
              <w:rPr>
                <w:rFonts w:ascii="Arial" w:hAnsi="Arial" w:cs="Arial"/>
              </w:rPr>
            </w:pPr>
          </w:p>
        </w:tc>
        <w:tc>
          <w:tcPr>
            <w:tcW w:w="278" w:type="dxa"/>
          </w:tcPr>
          <w:p w:rsidR="00712363" w:rsidRDefault="00712363" w:rsidP="00644620">
            <w:pPr>
              <w:tabs>
                <w:tab w:val="left" w:pos="5850"/>
                <w:tab w:val="left" w:pos="9270"/>
              </w:tabs>
              <w:spacing w:after="480"/>
              <w:ind w:hanging="112"/>
              <w:jc w:val="both"/>
              <w:rPr>
                <w:rFonts w:ascii="Arial" w:hAnsi="Arial" w:cs="Arial"/>
              </w:rPr>
            </w:pPr>
            <w:r>
              <w:rPr>
                <w:rFonts w:ascii="Arial" w:hAnsi="Arial" w:cs="Arial"/>
              </w:rPr>
              <w:t>),</w:t>
            </w:r>
          </w:p>
        </w:tc>
      </w:tr>
    </w:tbl>
    <w:p w:rsidR="0020074A" w:rsidRDefault="00C2251A" w:rsidP="00DE4ECB">
      <w:pPr>
        <w:tabs>
          <w:tab w:val="left" w:pos="5850"/>
        </w:tabs>
        <w:spacing w:after="480" w:line="240" w:lineRule="auto"/>
        <w:ind w:left="90"/>
        <w:jc w:val="both"/>
        <w:rPr>
          <w:rFonts w:ascii="Arial" w:hAnsi="Arial" w:cs="Arial"/>
        </w:rPr>
      </w:pPr>
      <w:r>
        <w:rPr>
          <w:rFonts w:ascii="Arial" w:hAnsi="Arial" w:cs="Arial"/>
        </w:rPr>
        <w:t>have been made in California in accordance with the requirements of CICS 11691(a).  Attached is the complete Form A110, Valuation of Securities, to support that the required statutory workers’ compensation deposit is in place.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236"/>
        <w:gridCol w:w="4348"/>
      </w:tblGrid>
      <w:tr w:rsidR="0095560B" w:rsidTr="001B2EDC">
        <w:trPr>
          <w:trHeight w:hRule="exact" w:val="288"/>
        </w:trPr>
        <w:tc>
          <w:tcPr>
            <w:tcW w:w="4968" w:type="dxa"/>
            <w:tcBorders>
              <w:bottom w:val="single" w:sz="4" w:space="0" w:color="auto"/>
            </w:tcBorders>
            <w:vAlign w:val="bottom"/>
          </w:tcPr>
          <w:p w:rsidR="0095560B" w:rsidRDefault="0095560B" w:rsidP="001B2EDC">
            <w:pPr>
              <w:tabs>
                <w:tab w:val="left" w:pos="5850"/>
              </w:tabs>
              <w:spacing w:after="480"/>
              <w:rPr>
                <w:rFonts w:ascii="Arial" w:hAnsi="Arial" w:cs="Arial"/>
              </w:rPr>
            </w:pPr>
          </w:p>
        </w:tc>
        <w:tc>
          <w:tcPr>
            <w:tcW w:w="236" w:type="dxa"/>
            <w:vAlign w:val="bottom"/>
          </w:tcPr>
          <w:p w:rsidR="0095560B" w:rsidRDefault="0095560B" w:rsidP="001B2EDC">
            <w:pPr>
              <w:tabs>
                <w:tab w:val="left" w:pos="5850"/>
              </w:tabs>
              <w:spacing w:after="480"/>
              <w:rPr>
                <w:rFonts w:ascii="Arial" w:hAnsi="Arial" w:cs="Arial"/>
              </w:rPr>
            </w:pPr>
          </w:p>
        </w:tc>
        <w:tc>
          <w:tcPr>
            <w:tcW w:w="4462" w:type="dxa"/>
            <w:tcBorders>
              <w:bottom w:val="single" w:sz="4" w:space="0" w:color="auto"/>
            </w:tcBorders>
            <w:vAlign w:val="bottom"/>
          </w:tcPr>
          <w:p w:rsidR="0095560B" w:rsidRDefault="0095560B" w:rsidP="001B2EDC">
            <w:pPr>
              <w:tabs>
                <w:tab w:val="left" w:pos="5850"/>
              </w:tabs>
              <w:spacing w:after="480"/>
              <w:rPr>
                <w:rFonts w:ascii="Arial" w:hAnsi="Arial" w:cs="Arial"/>
              </w:rPr>
            </w:pPr>
          </w:p>
        </w:tc>
      </w:tr>
      <w:tr w:rsidR="0095560B" w:rsidTr="001B2EDC">
        <w:trPr>
          <w:trHeight w:hRule="exact" w:val="288"/>
        </w:trPr>
        <w:tc>
          <w:tcPr>
            <w:tcW w:w="4968" w:type="dxa"/>
            <w:tcBorders>
              <w:top w:val="single" w:sz="4" w:space="0" w:color="auto"/>
            </w:tcBorders>
          </w:tcPr>
          <w:p w:rsidR="0095560B" w:rsidRDefault="0095560B" w:rsidP="0095560B">
            <w:pPr>
              <w:tabs>
                <w:tab w:val="left" w:pos="5850"/>
              </w:tabs>
              <w:spacing w:after="480"/>
              <w:rPr>
                <w:rFonts w:ascii="Arial" w:hAnsi="Arial" w:cs="Arial"/>
              </w:rPr>
            </w:pPr>
            <w:r>
              <w:rPr>
                <w:rFonts w:ascii="Arial" w:hAnsi="Arial" w:cs="Arial"/>
              </w:rPr>
              <w:t>(Official Company Representative Signature)</w:t>
            </w:r>
          </w:p>
        </w:tc>
        <w:tc>
          <w:tcPr>
            <w:tcW w:w="236" w:type="dxa"/>
          </w:tcPr>
          <w:p w:rsidR="0095560B" w:rsidRDefault="0095560B" w:rsidP="0095560B">
            <w:pPr>
              <w:tabs>
                <w:tab w:val="left" w:pos="5850"/>
              </w:tabs>
              <w:spacing w:after="480"/>
              <w:rPr>
                <w:rFonts w:ascii="Arial" w:hAnsi="Arial" w:cs="Arial"/>
              </w:rPr>
            </w:pPr>
          </w:p>
        </w:tc>
        <w:tc>
          <w:tcPr>
            <w:tcW w:w="4462" w:type="dxa"/>
            <w:tcBorders>
              <w:top w:val="single" w:sz="4" w:space="0" w:color="auto"/>
            </w:tcBorders>
          </w:tcPr>
          <w:p w:rsidR="0095560B" w:rsidRDefault="0095560B" w:rsidP="0095560B">
            <w:pPr>
              <w:tabs>
                <w:tab w:val="left" w:pos="4500"/>
                <w:tab w:val="left" w:pos="5850"/>
                <w:tab w:val="left" w:pos="9270"/>
              </w:tabs>
              <w:rPr>
                <w:rFonts w:ascii="Arial" w:hAnsi="Arial" w:cs="Arial"/>
              </w:rPr>
            </w:pPr>
            <w:r>
              <w:rPr>
                <w:rFonts w:ascii="Arial" w:hAnsi="Arial" w:cs="Arial"/>
              </w:rPr>
              <w:t>Print Name</w:t>
            </w:r>
          </w:p>
        </w:tc>
      </w:tr>
      <w:tr w:rsidR="001B2EDC" w:rsidTr="00933C15">
        <w:trPr>
          <w:trHeight w:hRule="exact" w:val="360"/>
        </w:trPr>
        <w:tc>
          <w:tcPr>
            <w:tcW w:w="4968" w:type="dxa"/>
          </w:tcPr>
          <w:p w:rsidR="001B2EDC" w:rsidRDefault="001B2EDC" w:rsidP="0095560B">
            <w:pPr>
              <w:tabs>
                <w:tab w:val="left" w:pos="5850"/>
              </w:tabs>
              <w:spacing w:after="480"/>
              <w:rPr>
                <w:rFonts w:ascii="Arial" w:hAnsi="Arial" w:cs="Arial"/>
              </w:rPr>
            </w:pPr>
          </w:p>
        </w:tc>
        <w:tc>
          <w:tcPr>
            <w:tcW w:w="236" w:type="dxa"/>
          </w:tcPr>
          <w:p w:rsidR="001B2EDC" w:rsidRDefault="001B2EDC" w:rsidP="0095560B">
            <w:pPr>
              <w:tabs>
                <w:tab w:val="left" w:pos="5850"/>
              </w:tabs>
              <w:spacing w:after="480"/>
              <w:rPr>
                <w:rFonts w:ascii="Arial" w:hAnsi="Arial" w:cs="Arial"/>
              </w:rPr>
            </w:pPr>
          </w:p>
        </w:tc>
        <w:tc>
          <w:tcPr>
            <w:tcW w:w="4462" w:type="dxa"/>
            <w:tcBorders>
              <w:bottom w:val="single" w:sz="4" w:space="0" w:color="auto"/>
            </w:tcBorders>
          </w:tcPr>
          <w:p w:rsidR="001B2EDC" w:rsidRDefault="001B2EDC" w:rsidP="0095560B">
            <w:pPr>
              <w:tabs>
                <w:tab w:val="left" w:pos="4500"/>
                <w:tab w:val="left" w:pos="5850"/>
                <w:tab w:val="left" w:pos="9270"/>
              </w:tabs>
              <w:rPr>
                <w:rFonts w:ascii="Arial" w:hAnsi="Arial" w:cs="Arial"/>
              </w:rPr>
            </w:pPr>
          </w:p>
        </w:tc>
      </w:tr>
      <w:tr w:rsidR="0095560B" w:rsidTr="0095560B">
        <w:trPr>
          <w:trHeight w:val="368"/>
        </w:trPr>
        <w:tc>
          <w:tcPr>
            <w:tcW w:w="4968" w:type="dxa"/>
          </w:tcPr>
          <w:p w:rsidR="0095560B" w:rsidRDefault="0095560B" w:rsidP="0095560B">
            <w:pPr>
              <w:tabs>
                <w:tab w:val="left" w:pos="5850"/>
              </w:tabs>
              <w:spacing w:after="480"/>
              <w:rPr>
                <w:rFonts w:ascii="Arial" w:hAnsi="Arial" w:cs="Arial"/>
              </w:rPr>
            </w:pPr>
          </w:p>
        </w:tc>
        <w:tc>
          <w:tcPr>
            <w:tcW w:w="236" w:type="dxa"/>
          </w:tcPr>
          <w:p w:rsidR="0095560B" w:rsidRDefault="0095560B" w:rsidP="0095560B">
            <w:pPr>
              <w:tabs>
                <w:tab w:val="left" w:pos="5850"/>
              </w:tabs>
              <w:spacing w:after="480"/>
              <w:rPr>
                <w:rFonts w:ascii="Arial" w:hAnsi="Arial" w:cs="Arial"/>
              </w:rPr>
            </w:pPr>
          </w:p>
        </w:tc>
        <w:tc>
          <w:tcPr>
            <w:tcW w:w="4462" w:type="dxa"/>
            <w:tcBorders>
              <w:top w:val="single" w:sz="4" w:space="0" w:color="auto"/>
            </w:tcBorders>
          </w:tcPr>
          <w:p w:rsidR="0095560B" w:rsidRDefault="0095560B" w:rsidP="0095560B">
            <w:pPr>
              <w:tabs>
                <w:tab w:val="left" w:pos="4500"/>
                <w:tab w:val="left" w:pos="5850"/>
                <w:tab w:val="left" w:pos="9270"/>
              </w:tabs>
              <w:rPr>
                <w:rFonts w:ascii="Arial" w:hAnsi="Arial" w:cs="Arial"/>
              </w:rPr>
            </w:pPr>
            <w:r>
              <w:rPr>
                <w:rFonts w:ascii="Arial" w:hAnsi="Arial" w:cs="Arial"/>
              </w:rPr>
              <w:t>Title</w:t>
            </w:r>
          </w:p>
        </w:tc>
      </w:tr>
    </w:tbl>
    <w:p w:rsidR="0020074A" w:rsidRDefault="0020074A" w:rsidP="00644620">
      <w:pPr>
        <w:tabs>
          <w:tab w:val="left" w:pos="5850"/>
        </w:tabs>
        <w:spacing w:after="480" w:line="240" w:lineRule="auto"/>
        <w:jc w:val="both"/>
        <w:rPr>
          <w:rFonts w:ascii="Arial" w:hAnsi="Arial" w:cs="Arial"/>
        </w:rPr>
      </w:pPr>
    </w:p>
    <w:p w:rsidR="0095560B" w:rsidRDefault="0095560B" w:rsidP="00644620">
      <w:pPr>
        <w:tabs>
          <w:tab w:val="left" w:pos="5850"/>
        </w:tabs>
        <w:spacing w:after="480" w:line="240" w:lineRule="auto"/>
        <w:jc w:val="both"/>
        <w:rPr>
          <w:rFonts w:ascii="Arial" w:hAnsi="Arial" w:cs="Arial"/>
        </w:rPr>
        <w:sectPr w:rsidR="0095560B" w:rsidSect="00921370">
          <w:headerReference w:type="default" r:id="rId12"/>
          <w:pgSz w:w="12240" w:h="15840"/>
          <w:pgMar w:top="1440" w:right="1350" w:bottom="1440" w:left="1440" w:header="720" w:footer="720" w:gutter="0"/>
          <w:cols w:space="720"/>
          <w:docGrid w:linePitch="360"/>
        </w:sectPr>
      </w:pPr>
    </w:p>
    <w:p w:rsidR="0020074A" w:rsidRPr="0020074A" w:rsidRDefault="0020074A" w:rsidP="00933C15">
      <w:pPr>
        <w:tabs>
          <w:tab w:val="left" w:pos="4590"/>
          <w:tab w:val="left" w:pos="5850"/>
          <w:tab w:val="left" w:pos="9270"/>
        </w:tabs>
        <w:spacing w:before="240" w:after="0" w:line="240" w:lineRule="auto"/>
        <w:jc w:val="both"/>
        <w:rPr>
          <w:rFonts w:ascii="Arial" w:hAnsi="Arial" w:cs="Arial"/>
        </w:rPr>
      </w:pPr>
    </w:p>
    <w:sectPr w:rsidR="0020074A" w:rsidRPr="0020074A" w:rsidSect="0020074A">
      <w:type w:val="continuous"/>
      <w:pgSz w:w="12240" w:h="15840"/>
      <w:pgMar w:top="1440" w:right="1440" w:bottom="1440" w:left="1440" w:header="720" w:footer="720" w:gutter="0"/>
      <w:cols w:num="2" w:space="5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281D" w:rsidRDefault="0052281D" w:rsidP="00DE4F1E">
      <w:pPr>
        <w:spacing w:after="0" w:line="240" w:lineRule="auto"/>
      </w:pPr>
      <w:r>
        <w:separator/>
      </w:r>
    </w:p>
  </w:endnote>
  <w:endnote w:type="continuationSeparator" w:id="0">
    <w:p w:rsidR="0052281D" w:rsidRDefault="0052281D" w:rsidP="00DE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281D" w:rsidRDefault="0052281D" w:rsidP="00DE4F1E">
      <w:pPr>
        <w:spacing w:after="0" w:line="240" w:lineRule="auto"/>
      </w:pPr>
      <w:r>
        <w:separator/>
      </w:r>
    </w:p>
  </w:footnote>
  <w:footnote w:type="continuationSeparator" w:id="0">
    <w:p w:rsidR="0052281D" w:rsidRDefault="0052281D" w:rsidP="00DE4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F1E" w:rsidRPr="00CF3356" w:rsidRDefault="00DE4F1E" w:rsidP="00DE4F1E">
    <w:pPr>
      <w:tabs>
        <w:tab w:val="right" w:pos="-7290"/>
        <w:tab w:val="left" w:pos="-4680"/>
        <w:tab w:val="left" w:pos="-4500"/>
        <w:tab w:val="left" w:pos="1800"/>
        <w:tab w:val="left" w:pos="6930"/>
      </w:tabs>
      <w:spacing w:after="0" w:line="240" w:lineRule="auto"/>
      <w:rPr>
        <w:rFonts w:ascii="Arial" w:hAnsi="Arial" w:cs="Arial"/>
        <w:b/>
        <w:sz w:val="20"/>
        <w:szCs w:val="20"/>
      </w:rPr>
    </w:pPr>
    <w:r w:rsidRPr="00CF3356">
      <w:rPr>
        <w:rFonts w:ascii="Arial" w:hAnsi="Arial" w:cs="Arial"/>
        <w:b/>
        <w:sz w:val="20"/>
        <w:szCs w:val="20"/>
      </w:rPr>
      <w:t xml:space="preserve">State of California </w:t>
    </w:r>
    <w:r w:rsidRPr="00CF3356">
      <w:rPr>
        <w:rFonts w:ascii="Arial" w:hAnsi="Arial" w:cs="Arial"/>
        <w:b/>
        <w:sz w:val="20"/>
        <w:szCs w:val="20"/>
      </w:rPr>
      <w:tab/>
    </w:r>
    <w:r w:rsidR="00CF3356">
      <w:rPr>
        <w:rFonts w:ascii="Arial" w:hAnsi="Arial" w:cs="Arial"/>
        <w:b/>
        <w:sz w:val="20"/>
        <w:szCs w:val="20"/>
      </w:rPr>
      <w:tab/>
    </w:r>
    <w:r w:rsidRPr="00CF3356">
      <w:rPr>
        <w:rFonts w:ascii="Arial" w:hAnsi="Arial" w:cs="Arial"/>
        <w:b/>
        <w:sz w:val="20"/>
        <w:szCs w:val="20"/>
      </w:rPr>
      <w:t>Department of Insurance</w:t>
    </w:r>
  </w:p>
  <w:p w:rsidR="00DE4F1E" w:rsidRPr="00CF3356" w:rsidRDefault="00DE4F1E" w:rsidP="00DE4F1E">
    <w:pPr>
      <w:spacing w:after="0" w:line="240" w:lineRule="auto"/>
      <w:rPr>
        <w:rFonts w:ascii="Arial" w:hAnsi="Arial" w:cs="Arial"/>
        <w:sz w:val="18"/>
        <w:szCs w:val="18"/>
      </w:rPr>
    </w:pPr>
    <w:r w:rsidRPr="00CF3356">
      <w:rPr>
        <w:rFonts w:ascii="Arial" w:hAnsi="Arial" w:cs="Arial"/>
        <w:sz w:val="18"/>
        <w:szCs w:val="18"/>
      </w:rPr>
      <w:t>All Admitted Insurers with A&amp;H Exposure</w:t>
    </w:r>
  </w:p>
  <w:p w:rsidR="00DE4F1E" w:rsidRPr="00CF3356" w:rsidRDefault="00DE4F1E" w:rsidP="00DE4F1E">
    <w:pPr>
      <w:spacing w:after="0" w:line="240" w:lineRule="auto"/>
      <w:rPr>
        <w:rFonts w:ascii="Arial" w:hAnsi="Arial" w:cs="Arial"/>
        <w:sz w:val="18"/>
        <w:szCs w:val="18"/>
      </w:rPr>
    </w:pPr>
    <w:r w:rsidRPr="00CF3356">
      <w:rPr>
        <w:rFonts w:ascii="Arial" w:hAnsi="Arial" w:cs="Arial"/>
        <w:sz w:val="18"/>
        <w:szCs w:val="18"/>
      </w:rPr>
      <w:t>Notice Requirement Pursuant to CICS 11691(b)</w:t>
    </w:r>
  </w:p>
  <w:p w:rsidR="00DE4F1E" w:rsidRPr="00CF3356" w:rsidRDefault="00DE4F1E" w:rsidP="00534471">
    <w:pPr>
      <w:spacing w:line="240" w:lineRule="auto"/>
      <w:rPr>
        <w:sz w:val="18"/>
        <w:szCs w:val="18"/>
      </w:rPr>
    </w:pPr>
    <w:r w:rsidRPr="00CF3356">
      <w:rPr>
        <w:rFonts w:ascii="Arial" w:hAnsi="Arial" w:cs="Arial"/>
        <w:sz w:val="18"/>
        <w:szCs w:val="18"/>
      </w:rPr>
      <w:t>FAD 151/Form 151</w:t>
    </w:r>
    <w:r w:rsidR="00CE41C4" w:rsidRPr="00CF3356">
      <w:rPr>
        <w:rFonts w:ascii="Arial" w:hAnsi="Arial" w:cs="Arial"/>
        <w:sz w:val="18"/>
        <w:szCs w:val="18"/>
      </w:rPr>
      <w:t xml:space="preserve"> (1</w:t>
    </w:r>
    <w:r w:rsidR="00143074">
      <w:rPr>
        <w:rFonts w:ascii="Arial" w:hAnsi="Arial" w:cs="Arial"/>
        <w:sz w:val="18"/>
        <w:szCs w:val="18"/>
      </w:rPr>
      <w:t>1</w:t>
    </w:r>
    <w:r w:rsidR="00CE41C4" w:rsidRPr="00CF3356">
      <w:rPr>
        <w:rFonts w:ascii="Arial" w:hAnsi="Arial" w:cs="Arial"/>
        <w:sz w:val="18"/>
        <w:szCs w:val="18"/>
      </w:rPr>
      <w:t>/2</w:t>
    </w:r>
    <w:r w:rsidR="00143074">
      <w:rPr>
        <w:rFonts w:ascii="Arial" w:hAnsi="Arial" w:cs="Arial"/>
        <w:sz w:val="18"/>
        <w:szCs w:val="18"/>
      </w:rPr>
      <w:t>3</w:t>
    </w:r>
    <w:r w:rsidR="00CE41C4" w:rsidRPr="00CF3356">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E6F19"/>
    <w:multiLevelType w:val="hybridMultilevel"/>
    <w:tmpl w:val="73A04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822518"/>
    <w:multiLevelType w:val="hybridMultilevel"/>
    <w:tmpl w:val="82AEEA42"/>
    <w:lvl w:ilvl="0" w:tplc="E9FCE4D0">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51780C"/>
    <w:multiLevelType w:val="hybridMultilevel"/>
    <w:tmpl w:val="B2B8BA26"/>
    <w:lvl w:ilvl="0" w:tplc="B39618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410211"/>
    <w:multiLevelType w:val="hybridMultilevel"/>
    <w:tmpl w:val="3FA4F0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F1E"/>
    <w:rsid w:val="00072688"/>
    <w:rsid w:val="00143074"/>
    <w:rsid w:val="00165392"/>
    <w:rsid w:val="001B2EDC"/>
    <w:rsid w:val="0020074A"/>
    <w:rsid w:val="002945E6"/>
    <w:rsid w:val="002C2D82"/>
    <w:rsid w:val="002F2678"/>
    <w:rsid w:val="00385110"/>
    <w:rsid w:val="004E22B9"/>
    <w:rsid w:val="0052281D"/>
    <w:rsid w:val="00534471"/>
    <w:rsid w:val="00566F6F"/>
    <w:rsid w:val="00571535"/>
    <w:rsid w:val="0060403B"/>
    <w:rsid w:val="00644620"/>
    <w:rsid w:val="00692393"/>
    <w:rsid w:val="006A087B"/>
    <w:rsid w:val="006D39A8"/>
    <w:rsid w:val="00712363"/>
    <w:rsid w:val="0078654A"/>
    <w:rsid w:val="00792D88"/>
    <w:rsid w:val="007E3AA5"/>
    <w:rsid w:val="008A4759"/>
    <w:rsid w:val="00921370"/>
    <w:rsid w:val="009309A8"/>
    <w:rsid w:val="00933C15"/>
    <w:rsid w:val="0095560B"/>
    <w:rsid w:val="00973422"/>
    <w:rsid w:val="00A64441"/>
    <w:rsid w:val="00AC1617"/>
    <w:rsid w:val="00AC18C8"/>
    <w:rsid w:val="00AE70C9"/>
    <w:rsid w:val="00BE1DE9"/>
    <w:rsid w:val="00C2251A"/>
    <w:rsid w:val="00CE2CD9"/>
    <w:rsid w:val="00CE41C4"/>
    <w:rsid w:val="00CF3356"/>
    <w:rsid w:val="00D51A9F"/>
    <w:rsid w:val="00DA2C29"/>
    <w:rsid w:val="00DB5BAA"/>
    <w:rsid w:val="00DE4ECB"/>
    <w:rsid w:val="00DE4F1E"/>
    <w:rsid w:val="00E026FB"/>
    <w:rsid w:val="00F16C72"/>
    <w:rsid w:val="00FF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9FF42"/>
  <w15:docId w15:val="{8913BB02-F880-460A-946D-A3001993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F1E"/>
  </w:style>
  <w:style w:type="paragraph" w:styleId="Heading1">
    <w:name w:val="heading 1"/>
    <w:basedOn w:val="Normal"/>
    <w:next w:val="Normal"/>
    <w:link w:val="Heading1Char"/>
    <w:uiPriority w:val="9"/>
    <w:qFormat/>
    <w:rsid w:val="00973422"/>
    <w:pPr>
      <w:keepNext/>
      <w:keepLines/>
      <w:spacing w:before="480" w:after="0"/>
      <w:jc w:val="center"/>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F1E"/>
    <w:pPr>
      <w:ind w:left="720"/>
      <w:contextualSpacing/>
    </w:pPr>
  </w:style>
  <w:style w:type="paragraph" w:styleId="Header">
    <w:name w:val="header"/>
    <w:basedOn w:val="Normal"/>
    <w:link w:val="HeaderChar"/>
    <w:uiPriority w:val="99"/>
    <w:unhideWhenUsed/>
    <w:rsid w:val="00DE4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4F1E"/>
  </w:style>
  <w:style w:type="paragraph" w:styleId="Footer">
    <w:name w:val="footer"/>
    <w:basedOn w:val="Normal"/>
    <w:link w:val="FooterChar"/>
    <w:uiPriority w:val="99"/>
    <w:unhideWhenUsed/>
    <w:rsid w:val="00DE4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4F1E"/>
  </w:style>
  <w:style w:type="character" w:styleId="Hyperlink">
    <w:name w:val="Hyperlink"/>
    <w:basedOn w:val="DefaultParagraphFont"/>
    <w:uiPriority w:val="99"/>
    <w:unhideWhenUsed/>
    <w:rsid w:val="0060403B"/>
    <w:rPr>
      <w:color w:val="0000FF" w:themeColor="hyperlink"/>
      <w:u w:val="single"/>
    </w:rPr>
  </w:style>
  <w:style w:type="table" w:styleId="TableGrid">
    <w:name w:val="Table Grid"/>
    <w:basedOn w:val="TableNormal"/>
    <w:uiPriority w:val="59"/>
    <w:rsid w:val="00571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3422"/>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AC18C8"/>
    <w:rPr>
      <w:color w:val="605E5C"/>
      <w:shd w:val="clear" w:color="auto" w:fill="E1DFDD"/>
    </w:rPr>
  </w:style>
  <w:style w:type="character" w:styleId="FollowedHyperlink">
    <w:name w:val="FollowedHyperlink"/>
    <w:basedOn w:val="DefaultParagraphFont"/>
    <w:uiPriority w:val="99"/>
    <w:semiHidden/>
    <w:unhideWhenUsed/>
    <w:rsid w:val="00DE4E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DWC@insurance.c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DWC@insurance.ca.gov" TargetMode="External"/><Relationship Id="rId5" Type="http://schemas.openxmlformats.org/officeDocument/2006/relationships/webSettings" Target="webSettings.xml"/><Relationship Id="rId10" Type="http://schemas.openxmlformats.org/officeDocument/2006/relationships/hyperlink" Target="mailto:FADWC@insurance.ca.gov" TargetMode="External"/><Relationship Id="rId4" Type="http://schemas.openxmlformats.org/officeDocument/2006/relationships/settings" Target="settings.xml"/><Relationship Id="rId9" Type="http://schemas.openxmlformats.org/officeDocument/2006/relationships/hyperlink" Target="https://www.insurance.ca.gov/0400-news/0200-studies-reports/1300-workers-compensation/index.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FA2D-9F18-4212-8408-5A157467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California</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Inouye, Tyler</dc:creator>
  <cp:lastModifiedBy>Inouye, Tyler</cp:lastModifiedBy>
  <cp:revision>5</cp:revision>
  <dcterms:created xsi:type="dcterms:W3CDTF">2021-11-23T21:41:00Z</dcterms:created>
  <dcterms:modified xsi:type="dcterms:W3CDTF">2023-11-30T22:08:00Z</dcterms:modified>
</cp:coreProperties>
</file>