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C98AB9" w14:textId="71707350" w:rsidR="00405316" w:rsidRPr="00405316" w:rsidRDefault="008A2966" w:rsidP="00CE18A7">
      <w:pPr>
        <w:pStyle w:val="Heading2"/>
      </w:pPr>
      <w:bookmarkStart w:id="0" w:name="_GoBack"/>
      <w:bookmarkEnd w:id="0"/>
      <w:r w:rsidRPr="00405316">
        <w:t>Definition</w:t>
      </w:r>
    </w:p>
    <w:p w14:paraId="68FD8A22" w14:textId="37EAF02D" w:rsidR="002E1E71" w:rsidRDefault="002E1E71">
      <w:pPr>
        <w:spacing w:after="267"/>
        <w:rPr>
          <w:color w:val="auto"/>
          <w:szCs w:val="24"/>
          <w:shd w:val="clear" w:color="auto" w:fill="FFFFFF"/>
        </w:rPr>
      </w:pPr>
      <w:r w:rsidRPr="00CB2E96">
        <w:rPr>
          <w:color w:val="auto"/>
          <w:szCs w:val="24"/>
          <w:shd w:val="clear" w:color="auto" w:fill="FFFFFF"/>
        </w:rPr>
        <w:t xml:space="preserve">Effective March 1, 2023 California Insurance Code sections </w:t>
      </w:r>
      <w:hyperlink r:id="rId8" w:history="1">
        <w:r w:rsidRPr="00415626">
          <w:rPr>
            <w:rStyle w:val="Hyperlink"/>
            <w:szCs w:val="24"/>
            <w:shd w:val="clear" w:color="auto" w:fill="FFFFFF"/>
          </w:rPr>
          <w:t>1749</w:t>
        </w:r>
      </w:hyperlink>
      <w:r>
        <w:rPr>
          <w:color w:val="222222"/>
          <w:szCs w:val="24"/>
          <w:shd w:val="clear" w:color="auto" w:fill="FFFFFF"/>
        </w:rPr>
        <w:t xml:space="preserve">, </w:t>
      </w:r>
      <w:hyperlink r:id="rId9" w:history="1">
        <w:r w:rsidRPr="00415626">
          <w:rPr>
            <w:rStyle w:val="Hyperlink"/>
            <w:szCs w:val="24"/>
            <w:shd w:val="clear" w:color="auto" w:fill="FFFFFF"/>
          </w:rPr>
          <w:t>1749.3</w:t>
        </w:r>
      </w:hyperlink>
      <w:r>
        <w:rPr>
          <w:color w:val="222222"/>
          <w:szCs w:val="24"/>
          <w:shd w:val="clear" w:color="auto" w:fill="FFFFFF"/>
        </w:rPr>
        <w:t xml:space="preserve">, </w:t>
      </w:r>
      <w:hyperlink r:id="rId10" w:history="1">
        <w:r w:rsidRPr="00415626">
          <w:rPr>
            <w:rStyle w:val="Hyperlink"/>
            <w:szCs w:val="24"/>
            <w:shd w:val="clear" w:color="auto" w:fill="FFFFFF"/>
          </w:rPr>
          <w:t>1749.31</w:t>
        </w:r>
      </w:hyperlink>
      <w:r>
        <w:rPr>
          <w:color w:val="222222"/>
          <w:szCs w:val="24"/>
          <w:shd w:val="clear" w:color="auto" w:fill="FFFFFF"/>
        </w:rPr>
        <w:t xml:space="preserve">, </w:t>
      </w:r>
      <w:hyperlink r:id="rId11" w:history="1">
        <w:r w:rsidRPr="00415626">
          <w:rPr>
            <w:rStyle w:val="Hyperlink"/>
            <w:szCs w:val="24"/>
            <w:shd w:val="clear" w:color="auto" w:fill="FFFFFF"/>
          </w:rPr>
          <w:t>1749.32</w:t>
        </w:r>
      </w:hyperlink>
      <w:r>
        <w:rPr>
          <w:color w:val="222222"/>
          <w:szCs w:val="24"/>
          <w:shd w:val="clear" w:color="auto" w:fill="FFFFFF"/>
        </w:rPr>
        <w:t xml:space="preserve">, and </w:t>
      </w:r>
      <w:hyperlink r:id="rId12" w:history="1">
        <w:r w:rsidRPr="00415626">
          <w:rPr>
            <w:rStyle w:val="Hyperlink"/>
            <w:szCs w:val="24"/>
            <w:shd w:val="clear" w:color="auto" w:fill="FFFFFF"/>
          </w:rPr>
          <w:t>1749.33</w:t>
        </w:r>
      </w:hyperlink>
      <w:r>
        <w:rPr>
          <w:color w:val="222222"/>
          <w:szCs w:val="24"/>
          <w:shd w:val="clear" w:color="auto" w:fill="FFFFFF"/>
        </w:rPr>
        <w:t xml:space="preserve"> </w:t>
      </w:r>
      <w:r w:rsidRPr="00CB2E96">
        <w:rPr>
          <w:color w:val="auto"/>
          <w:szCs w:val="24"/>
          <w:shd w:val="clear" w:color="auto" w:fill="FFFFFF"/>
        </w:rPr>
        <w:t>require</w:t>
      </w:r>
      <w:r w:rsidR="00CB2E96">
        <w:rPr>
          <w:color w:val="auto"/>
          <w:szCs w:val="24"/>
          <w:shd w:val="clear" w:color="auto" w:fill="FFFFFF"/>
        </w:rPr>
        <w:t>d</w:t>
      </w:r>
      <w:r w:rsidRPr="00CB2E96">
        <w:rPr>
          <w:color w:val="auto"/>
          <w:szCs w:val="24"/>
          <w:shd w:val="clear" w:color="auto" w:fill="FFFFFF"/>
        </w:rPr>
        <w:t xml:space="preserve"> Education Providers (Providers)</w:t>
      </w:r>
      <w:r w:rsidR="00415626" w:rsidRPr="00CB2E96">
        <w:rPr>
          <w:color w:val="auto"/>
          <w:szCs w:val="24"/>
          <w:shd w:val="clear" w:color="auto" w:fill="FFFFFF"/>
        </w:rPr>
        <w:t xml:space="preserve"> to incorporate one hour of study on insurance fraud into their 12-hour ethics </w:t>
      </w:r>
      <w:r w:rsidR="002D0A62">
        <w:rPr>
          <w:color w:val="auto"/>
          <w:szCs w:val="24"/>
          <w:shd w:val="clear" w:color="auto" w:fill="FFFFFF"/>
        </w:rPr>
        <w:t>and California Insurance Code (Code) training</w:t>
      </w:r>
      <w:r w:rsidR="00415626" w:rsidRPr="00CB2E96">
        <w:rPr>
          <w:color w:val="auto"/>
          <w:szCs w:val="24"/>
          <w:shd w:val="clear" w:color="auto" w:fill="FFFFFF"/>
        </w:rPr>
        <w:t xml:space="preserve"> and their three-hour ethics training courses </w:t>
      </w:r>
      <w:r w:rsidR="00415626" w:rsidRPr="00415626">
        <w:rPr>
          <w:color w:val="222222"/>
          <w:szCs w:val="24"/>
          <w:shd w:val="clear" w:color="auto" w:fill="FFFFFF"/>
        </w:rPr>
        <w:t>(</w:t>
      </w:r>
      <w:hyperlink r:id="rId13" w:history="1">
        <w:r w:rsidR="00415626" w:rsidRPr="00415626">
          <w:rPr>
            <w:rStyle w:val="Hyperlink"/>
            <w:szCs w:val="24"/>
            <w:shd w:val="clear" w:color="auto" w:fill="FFFFFF"/>
          </w:rPr>
          <w:t>Senate Bill 1242</w:t>
        </w:r>
      </w:hyperlink>
      <w:r w:rsidR="00415626" w:rsidRPr="00415626">
        <w:rPr>
          <w:color w:val="222222"/>
          <w:szCs w:val="24"/>
          <w:shd w:val="clear" w:color="auto" w:fill="FFFFFF"/>
        </w:rPr>
        <w:t xml:space="preserve">, </w:t>
      </w:r>
      <w:r w:rsidR="00415626" w:rsidRPr="00CB2E96">
        <w:rPr>
          <w:color w:val="auto"/>
          <w:szCs w:val="24"/>
          <w:shd w:val="clear" w:color="auto" w:fill="FFFFFF"/>
        </w:rPr>
        <w:t>Committee on Insurance, Chapter 424, Statutes of 2022).</w:t>
      </w:r>
    </w:p>
    <w:p w14:paraId="7FD39F37" w14:textId="19433620" w:rsidR="00CB2E96" w:rsidRDefault="00CB2E96" w:rsidP="00CB2E96">
      <w:pPr>
        <w:spacing w:after="267"/>
        <w:ind w:left="0" w:firstLine="0"/>
        <w:rPr>
          <w:color w:val="222222"/>
          <w:szCs w:val="24"/>
          <w:shd w:val="clear" w:color="auto" w:fill="FFFFFF"/>
        </w:rPr>
      </w:pPr>
      <w:r w:rsidRPr="00CB2E96">
        <w:rPr>
          <w:color w:val="222222"/>
          <w:szCs w:val="24"/>
          <w:shd w:val="clear" w:color="auto" w:fill="FFFFFF"/>
        </w:rPr>
        <w:t>The revised</w:t>
      </w:r>
      <w:r w:rsidR="002D0A62">
        <w:rPr>
          <w:color w:val="222222"/>
          <w:szCs w:val="24"/>
          <w:shd w:val="clear" w:color="auto" w:fill="FFFFFF"/>
        </w:rPr>
        <w:t xml:space="preserve"> </w:t>
      </w:r>
      <w:r w:rsidRPr="00CB2E96">
        <w:rPr>
          <w:i/>
          <w:iCs/>
          <w:color w:val="222222"/>
          <w:szCs w:val="24"/>
          <w:shd w:val="clear" w:color="auto" w:fill="FFFFFF"/>
        </w:rPr>
        <w:t>12-Hour Ethics</w:t>
      </w:r>
      <w:r w:rsidR="002D0A62">
        <w:rPr>
          <w:i/>
          <w:iCs/>
          <w:color w:val="222222"/>
          <w:szCs w:val="24"/>
          <w:shd w:val="clear" w:color="auto" w:fill="FFFFFF"/>
        </w:rPr>
        <w:t xml:space="preserve"> and California Insurance Code </w:t>
      </w:r>
      <w:r w:rsidR="00A921BA">
        <w:rPr>
          <w:i/>
          <w:iCs/>
          <w:color w:val="222222"/>
          <w:szCs w:val="24"/>
          <w:shd w:val="clear" w:color="auto" w:fill="FFFFFF"/>
        </w:rPr>
        <w:t>Training</w:t>
      </w:r>
      <w:r w:rsidR="00A921BA" w:rsidRPr="00CB2E96">
        <w:rPr>
          <w:i/>
          <w:iCs/>
          <w:color w:val="222222"/>
          <w:szCs w:val="24"/>
          <w:shd w:val="clear" w:color="auto" w:fill="FFFFFF"/>
        </w:rPr>
        <w:t>,</w:t>
      </w:r>
      <w:r>
        <w:rPr>
          <w:i/>
          <w:iCs/>
          <w:color w:val="222222"/>
          <w:szCs w:val="24"/>
          <w:shd w:val="clear" w:color="auto" w:fill="FFFFFF"/>
        </w:rPr>
        <w:t xml:space="preserve"> </w:t>
      </w:r>
      <w:r w:rsidRPr="00CB2E96">
        <w:rPr>
          <w:i/>
          <w:iCs/>
          <w:color w:val="222222"/>
          <w:szCs w:val="24"/>
          <w:shd w:val="clear" w:color="auto" w:fill="FFFFFF"/>
        </w:rPr>
        <w:t>the Three-Hour Ethics Training Course Development and Review Guidelines</w:t>
      </w:r>
      <w:r>
        <w:rPr>
          <w:i/>
          <w:iCs/>
          <w:color w:val="222222"/>
          <w:szCs w:val="24"/>
          <w:shd w:val="clear" w:color="auto" w:fill="FFFFFF"/>
        </w:rPr>
        <w:t xml:space="preserve"> and the </w:t>
      </w:r>
      <w:r w:rsidR="002D0A62">
        <w:rPr>
          <w:i/>
          <w:iCs/>
          <w:color w:val="222222"/>
          <w:szCs w:val="24"/>
          <w:shd w:val="clear" w:color="auto" w:fill="FFFFFF"/>
        </w:rPr>
        <w:t xml:space="preserve">One Hour of Study on Insurance Fraud - </w:t>
      </w:r>
      <w:r>
        <w:rPr>
          <w:i/>
          <w:iCs/>
          <w:color w:val="222222"/>
          <w:szCs w:val="24"/>
          <w:shd w:val="clear" w:color="auto" w:fill="FFFFFF"/>
        </w:rPr>
        <w:t>Ethics Training Outline</w:t>
      </w:r>
      <w:r w:rsidR="002D0A62">
        <w:rPr>
          <w:i/>
          <w:iCs/>
          <w:color w:val="222222"/>
          <w:szCs w:val="24"/>
          <w:shd w:val="clear" w:color="auto" w:fill="FFFFFF"/>
        </w:rPr>
        <w:t xml:space="preserve"> </w:t>
      </w:r>
      <w:r w:rsidRPr="00CB2E96">
        <w:rPr>
          <w:color w:val="222222"/>
          <w:szCs w:val="24"/>
          <w:shd w:val="clear" w:color="auto" w:fill="FFFFFF"/>
        </w:rPr>
        <w:t xml:space="preserve">include the one hour of insurance fraud training. This training is a part of, and not in addition to, the 12-hour ethics </w:t>
      </w:r>
      <w:r w:rsidR="002D0A62">
        <w:rPr>
          <w:color w:val="222222"/>
          <w:szCs w:val="24"/>
          <w:shd w:val="clear" w:color="auto" w:fill="FFFFFF"/>
        </w:rPr>
        <w:t>and code</w:t>
      </w:r>
      <w:r w:rsidRPr="00CB2E96">
        <w:rPr>
          <w:color w:val="222222"/>
          <w:szCs w:val="24"/>
          <w:shd w:val="clear" w:color="auto" w:fill="FFFFFF"/>
        </w:rPr>
        <w:t xml:space="preserve"> and three-hour ethics training requirements stated in the above Insurance Code sections.</w:t>
      </w:r>
    </w:p>
    <w:p w14:paraId="6EDD6A17" w14:textId="7094CE5B" w:rsidR="00E34646" w:rsidRDefault="00E34646" w:rsidP="00CB2E96">
      <w:pPr>
        <w:spacing w:after="267"/>
        <w:ind w:left="0" w:firstLine="0"/>
        <w:rPr>
          <w:color w:val="222222"/>
          <w:szCs w:val="24"/>
          <w:shd w:val="clear" w:color="auto" w:fill="FFFFFF"/>
        </w:rPr>
      </w:pPr>
      <w:r>
        <w:rPr>
          <w:szCs w:val="24"/>
        </w:rPr>
        <w:t>The Department’s Enforcement Branch Fraud Division’s One Hour of Study on Insurance Fraud Required Training is listed in Section A of this Outline.</w:t>
      </w:r>
    </w:p>
    <w:p w14:paraId="425E7BEA" w14:textId="0A748744" w:rsidR="00405316" w:rsidRDefault="00CB2E96" w:rsidP="00405316">
      <w:pPr>
        <w:pStyle w:val="Heading1"/>
      </w:pPr>
      <w:r>
        <w:t>Course Approval Requirements</w:t>
      </w:r>
    </w:p>
    <w:p w14:paraId="3DC49820" w14:textId="3375F45A" w:rsidR="00405316" w:rsidRDefault="00CB2E96" w:rsidP="00CE18A7">
      <w:pPr>
        <w:pStyle w:val="Heading2"/>
        <w:jc w:val="center"/>
      </w:pPr>
      <w:r>
        <w:t>Non-Contact Course (Non-Interactive)</w:t>
      </w:r>
    </w:p>
    <w:p w14:paraId="3A0CCE7B" w14:textId="64C0F4C4" w:rsidR="00405316" w:rsidRDefault="00CB2E96" w:rsidP="00CB2E96">
      <w:pPr>
        <w:spacing w:after="267"/>
      </w:pPr>
      <w:r>
        <w:rPr>
          <w:b/>
        </w:rPr>
        <w:t xml:space="preserve">Content: </w:t>
      </w:r>
      <w:r>
        <w:t>To be approved, an ethics training course must reinforce a producer’s ethical competence, must contribute to a producer’s understanding of the complexities of ethical decision-making in the insurance industry, and must provide tools to help an insurance professional identify, prevent, and constructively resolve ethical dilemmas.</w:t>
      </w:r>
    </w:p>
    <w:p w14:paraId="185A09C5" w14:textId="5ED4233D" w:rsidR="00405316" w:rsidRDefault="00CB2E96" w:rsidP="00CB2E96">
      <w:pPr>
        <w:spacing w:after="283"/>
      </w:pPr>
      <w:r>
        <w:rPr>
          <w:b/>
        </w:rPr>
        <w:t>Non-Contact Course Credit Hours:</w:t>
      </w:r>
      <w:r>
        <w:t xml:space="preserve">  A minimum of 4,600 words is required for each hour of credit approved.</w:t>
      </w:r>
    </w:p>
    <w:p w14:paraId="5135902D" w14:textId="64EDF521" w:rsidR="00405316" w:rsidRDefault="00CB2E96" w:rsidP="00CB2E96">
      <w:pPr>
        <w:spacing w:after="255" w:line="256" w:lineRule="auto"/>
        <w:ind w:left="0" w:firstLine="0"/>
        <w:rPr>
          <w:noProof/>
        </w:rPr>
      </w:pPr>
      <w:r>
        <w:t>Time included for the examination must not be more than 15 percent of the course total credit hours. The examination must have a minimum of three (3) questions for each credit hour approved.</w:t>
      </w:r>
    </w:p>
    <w:p w14:paraId="0EE8DE60" w14:textId="4CA6D0BF" w:rsidR="00405316" w:rsidRDefault="00CB2E96" w:rsidP="00CB2E96">
      <w:pPr>
        <w:spacing w:after="267"/>
      </w:pPr>
      <w:r>
        <w:t>Partial credit hours will not be awarded and will be rounded down to the nearest whole credit hour.</w:t>
      </w:r>
    </w:p>
    <w:p w14:paraId="76FDC3A0" w14:textId="77777777" w:rsidR="00566295" w:rsidRDefault="00566295">
      <w:pPr>
        <w:spacing w:after="160" w:line="259" w:lineRule="auto"/>
        <w:ind w:left="0" w:firstLine="0"/>
        <w:rPr>
          <w:b/>
        </w:rPr>
      </w:pPr>
      <w:r>
        <w:rPr>
          <w:b/>
        </w:rPr>
        <w:br w:type="page"/>
      </w:r>
    </w:p>
    <w:p w14:paraId="16A7BC0E" w14:textId="29D08EC9" w:rsidR="00405316" w:rsidRPr="00405316" w:rsidRDefault="00CB2E96" w:rsidP="00CE18A7">
      <w:pPr>
        <w:pStyle w:val="Heading3"/>
      </w:pPr>
      <w:r w:rsidRPr="00405316">
        <w:rPr>
          <w:b w:val="0"/>
        </w:rPr>
        <w:lastRenderedPageBreak/>
        <w:t>Non-Interactive Courses</w:t>
      </w:r>
    </w:p>
    <w:p w14:paraId="3BE61AE3" w14:textId="15E830DF" w:rsidR="00405316" w:rsidRDefault="00CB2E96" w:rsidP="00CB2E96">
      <w:pPr>
        <w:ind w:right="83"/>
      </w:pPr>
      <w:r>
        <w:t>Non-Interactive video, online, compact diskette (CD), and digital versatile disc (DVD) courses are reviewed in a similar manner using screen prints or scripts and applying the same formula in “Non-Contact Credit Hours” noted above.</w:t>
      </w:r>
    </w:p>
    <w:p w14:paraId="7C3D0CF7" w14:textId="77777777" w:rsidR="00CB2E96" w:rsidRDefault="00CB2E96" w:rsidP="00CB2E96">
      <w:pPr>
        <w:ind w:right="83"/>
      </w:pPr>
    </w:p>
    <w:p w14:paraId="05A239FB" w14:textId="07A78B45" w:rsidR="00405316" w:rsidRDefault="00CB2E96" w:rsidP="00CE18A7">
      <w:pPr>
        <w:pStyle w:val="Heading2"/>
        <w:jc w:val="center"/>
      </w:pPr>
      <w:r>
        <w:t>Contact Course (Interactive)</w:t>
      </w:r>
    </w:p>
    <w:p w14:paraId="3B96F88C" w14:textId="4704ECB8" w:rsidR="00405316" w:rsidRDefault="00CB2E96" w:rsidP="00CB2E96">
      <w:pPr>
        <w:spacing w:after="267"/>
      </w:pPr>
      <w:r>
        <w:rPr>
          <w:b/>
        </w:rPr>
        <w:t xml:space="preserve">Content: </w:t>
      </w:r>
      <w:r>
        <w:t>To be approved, an ethics training course must reinforce a producer’s ethical competence, must contribute to a producer’s understanding of the complexities of ethical decision-making in the insurance industry, and must provide tools to help an insurance professional identify, prevent, and constructively resolve ethical dilemmas.</w:t>
      </w:r>
    </w:p>
    <w:p w14:paraId="29C9ECB3" w14:textId="738FC0E1" w:rsidR="00405316" w:rsidRDefault="00CB2E96" w:rsidP="00CB2E96">
      <w:pPr>
        <w:spacing w:after="264"/>
        <w:ind w:right="111"/>
      </w:pPr>
      <w:r>
        <w:rPr>
          <w:b/>
        </w:rPr>
        <w:t xml:space="preserve">Contact Course Credit Hours: </w:t>
      </w:r>
      <w:r>
        <w:t>Our guideline for assigning credit hours to contact courses is based on a 50-minute hour of classroom instruction. No credit is given for breaks. The student may receive credit for only 480 minutes of instruction per day. This equates to nine (9) hours of classroom credit per day (partial hours are not given credit). The student is required to be attentive and to participate. It is at the instructor’s discretion to determine if the student should receive credit based on his attention and participation. Additionally, the instructor may give credit if the student participates in at least 80% of class instruction.</w:t>
      </w:r>
    </w:p>
    <w:p w14:paraId="428A60B3" w14:textId="056A3BE4" w:rsidR="00405316" w:rsidRDefault="00CB2E96" w:rsidP="00CB2E96">
      <w:pPr>
        <w:spacing w:after="272"/>
      </w:pPr>
      <w:r>
        <w:t>No credit is given for review. Credit is given for examinations only if it is mandatory to pass the examination to receive credit for the course.</w:t>
      </w:r>
    </w:p>
    <w:p w14:paraId="05253AF6" w14:textId="7671C740" w:rsidR="00B30740" w:rsidRDefault="00B30740" w:rsidP="00E5163E">
      <w:pPr>
        <w:spacing w:after="267"/>
        <w:rPr>
          <w:i/>
        </w:rPr>
      </w:pPr>
      <w:r>
        <w:rPr>
          <w:i/>
        </w:rPr>
        <w:br w:type="page"/>
      </w:r>
    </w:p>
    <w:p w14:paraId="2AFA11C8" w14:textId="7260434C" w:rsidR="008969C8" w:rsidRDefault="002D0A62" w:rsidP="00CE18A7">
      <w:pPr>
        <w:pStyle w:val="Heading2"/>
        <w:jc w:val="center"/>
      </w:pPr>
      <w:r>
        <w:lastRenderedPageBreak/>
        <w:t>One Hour of Study on Insurance Fraud</w:t>
      </w:r>
      <w:r w:rsidR="003F48B9" w:rsidRPr="008272A6">
        <w:t xml:space="preserve"> Required Training</w:t>
      </w:r>
      <w:r w:rsidR="00583B68">
        <w:t xml:space="preserve"> Outline</w:t>
      </w:r>
    </w:p>
    <w:p w14:paraId="1F2F0D83" w14:textId="77777777" w:rsidR="008969C8" w:rsidRPr="008272A6" w:rsidRDefault="008969C8" w:rsidP="003F48B9">
      <w:pPr>
        <w:ind w:left="0" w:firstLine="0"/>
        <w:rPr>
          <w:b/>
          <w:sz w:val="28"/>
          <w:szCs w:val="28"/>
        </w:rPr>
      </w:pPr>
    </w:p>
    <w:p w14:paraId="5D11DD93" w14:textId="77777777" w:rsidR="003F48B9" w:rsidRPr="008272A6" w:rsidRDefault="003F48B9" w:rsidP="00E5163E">
      <w:pPr>
        <w:pStyle w:val="ListParagraph"/>
        <w:numPr>
          <w:ilvl w:val="0"/>
          <w:numId w:val="3"/>
        </w:numPr>
        <w:ind w:left="900" w:hanging="540"/>
      </w:pPr>
      <w:r w:rsidRPr="008272A6">
        <w:t>Introduction</w:t>
      </w:r>
    </w:p>
    <w:p w14:paraId="116E35DC" w14:textId="5740977E" w:rsidR="003F48B9" w:rsidRDefault="003F48B9" w:rsidP="00E5163E">
      <w:pPr>
        <w:pStyle w:val="ListParagraph"/>
        <w:numPr>
          <w:ilvl w:val="1"/>
          <w:numId w:val="3"/>
        </w:numPr>
        <w:ind w:left="1260"/>
      </w:pPr>
      <w:r w:rsidRPr="008272A6">
        <w:t xml:space="preserve">Who is the Fraud </w:t>
      </w:r>
      <w:r w:rsidR="00AD0AE9" w:rsidRPr="008272A6">
        <w:t>Division</w:t>
      </w:r>
      <w:r w:rsidRPr="008272A6">
        <w:t xml:space="preserve"> </w:t>
      </w:r>
      <w:bookmarkStart w:id="1" w:name="_Hlk187304103"/>
      <w:r w:rsidR="002D36F5" w:rsidRPr="002D36F5">
        <w:rPr>
          <w:rStyle w:val="Hyperlink"/>
        </w:rPr>
        <w:t>(</w:t>
      </w:r>
      <w:hyperlink r:id="rId14" w:history="1">
        <w:r w:rsidR="00B01410" w:rsidRPr="0085270F">
          <w:rPr>
            <w:rStyle w:val="Hyperlink"/>
          </w:rPr>
          <w:t xml:space="preserve">California Insurance Code </w:t>
        </w:r>
        <w:r w:rsidR="0085270F" w:rsidRPr="0085270F">
          <w:rPr>
            <w:rStyle w:val="Hyperlink"/>
          </w:rPr>
          <w:t>(</w:t>
        </w:r>
        <w:r w:rsidRPr="0085270F">
          <w:rPr>
            <w:rStyle w:val="Hyperlink"/>
          </w:rPr>
          <w:t>Cal. Ins. Code</w:t>
        </w:r>
        <w:r w:rsidR="00B01410" w:rsidRPr="0085270F">
          <w:rPr>
            <w:rStyle w:val="Hyperlink"/>
          </w:rPr>
          <w:t>)</w:t>
        </w:r>
        <w:r w:rsidRPr="0085270F">
          <w:rPr>
            <w:rStyle w:val="Hyperlink"/>
          </w:rPr>
          <w:t xml:space="preserve"> section 1872</w:t>
        </w:r>
      </w:hyperlink>
      <w:bookmarkEnd w:id="1"/>
      <w:r w:rsidR="002D36F5" w:rsidRPr="002D36F5">
        <w:rPr>
          <w:rStyle w:val="Hyperlink"/>
        </w:rPr>
        <w:t>)</w:t>
      </w:r>
      <w:r w:rsidR="002D36F5" w:rsidRPr="008272A6">
        <w:t>?</w:t>
      </w:r>
    </w:p>
    <w:p w14:paraId="5C658FDE" w14:textId="20C0821D" w:rsidR="007B64D1" w:rsidRPr="008272A6" w:rsidRDefault="007B64D1" w:rsidP="00E5163E">
      <w:pPr>
        <w:pStyle w:val="ListParagraph"/>
        <w:numPr>
          <w:ilvl w:val="2"/>
          <w:numId w:val="3"/>
        </w:numPr>
        <w:ind w:left="1980" w:hanging="540"/>
      </w:pPr>
      <w:r>
        <w:t xml:space="preserve">Created to enforce provisions of </w:t>
      </w:r>
      <w:hyperlink r:id="rId15" w:history="1">
        <w:r w:rsidRPr="0085270F">
          <w:rPr>
            <w:rStyle w:val="Hyperlink"/>
          </w:rPr>
          <w:t xml:space="preserve">California Penal </w:t>
        </w:r>
        <w:r w:rsidR="00C233F5" w:rsidRPr="0085270F">
          <w:rPr>
            <w:rStyle w:val="Hyperlink"/>
          </w:rPr>
          <w:t>Code</w:t>
        </w:r>
        <w:r w:rsidR="002D36F5">
          <w:rPr>
            <w:rStyle w:val="Hyperlink"/>
          </w:rPr>
          <w:t xml:space="preserve"> </w:t>
        </w:r>
        <w:r w:rsidRPr="0085270F">
          <w:rPr>
            <w:rStyle w:val="Hyperlink"/>
          </w:rPr>
          <w:t>sections 549</w:t>
        </w:r>
      </w:hyperlink>
      <w:hyperlink r:id="rId16" w:history="1">
        <w:r w:rsidR="002D36F5">
          <w:rPr>
            <w:rStyle w:val="Hyperlink"/>
          </w:rPr>
          <w:t xml:space="preserve"> through </w:t>
        </w:r>
        <w:r w:rsidRPr="0085270F">
          <w:rPr>
            <w:rStyle w:val="Hyperlink"/>
          </w:rPr>
          <w:t>550</w:t>
        </w:r>
      </w:hyperlink>
      <w:r>
        <w:t xml:space="preserve"> and administer the provisions of Article 3</w:t>
      </w:r>
    </w:p>
    <w:p w14:paraId="4C150127" w14:textId="226E1C7A" w:rsidR="003F48B9" w:rsidRPr="008272A6" w:rsidRDefault="00623A89" w:rsidP="00E5163E">
      <w:pPr>
        <w:pStyle w:val="ListParagraph"/>
        <w:numPr>
          <w:ilvl w:val="2"/>
          <w:numId w:val="3"/>
        </w:numPr>
        <w:ind w:left="1980" w:hanging="540"/>
      </w:pPr>
      <w:hyperlink r:id="rId17" w:history="1">
        <w:r w:rsidR="003F48B9" w:rsidRPr="004E1A81">
          <w:rPr>
            <w:rStyle w:val="Hyperlink"/>
          </w:rPr>
          <w:t>Enforcement Branch</w:t>
        </w:r>
        <w:r w:rsidR="004E1A81" w:rsidRPr="004E1A81">
          <w:rPr>
            <w:rStyle w:val="Hyperlink"/>
          </w:rPr>
          <w:t xml:space="preserve"> Overview</w:t>
        </w:r>
      </w:hyperlink>
    </w:p>
    <w:p w14:paraId="5CDA12E7" w14:textId="58921B50" w:rsidR="003F48B9" w:rsidRDefault="003F48B9" w:rsidP="00E5163E">
      <w:pPr>
        <w:pStyle w:val="ListParagraph"/>
        <w:numPr>
          <w:ilvl w:val="1"/>
          <w:numId w:val="3"/>
        </w:numPr>
        <w:ind w:left="1260"/>
      </w:pPr>
      <w:r w:rsidRPr="008272A6">
        <w:t xml:space="preserve">Why does the Fraud Division exist </w:t>
      </w:r>
      <w:r w:rsidR="002D36F5" w:rsidRPr="002D36F5">
        <w:rPr>
          <w:rStyle w:val="Hyperlink"/>
        </w:rPr>
        <w:t>(</w:t>
      </w:r>
      <w:hyperlink r:id="rId18" w:history="1">
        <w:r w:rsidRPr="0085270F">
          <w:rPr>
            <w:rStyle w:val="Hyperlink"/>
          </w:rPr>
          <w:t xml:space="preserve">Cal. Ins Code section </w:t>
        </w:r>
        <w:r w:rsidR="004E1A81" w:rsidRPr="0085270F">
          <w:rPr>
            <w:rStyle w:val="Hyperlink"/>
          </w:rPr>
          <w:t>1871-</w:t>
        </w:r>
        <w:r w:rsidRPr="0085270F">
          <w:rPr>
            <w:rStyle w:val="Hyperlink"/>
          </w:rPr>
          <w:t>1871.4</w:t>
        </w:r>
      </w:hyperlink>
      <w:r w:rsidR="002D36F5">
        <w:rPr>
          <w:rStyle w:val="Hyperlink"/>
        </w:rPr>
        <w:t>)</w:t>
      </w:r>
      <w:r w:rsidR="002D36F5" w:rsidRPr="008272A6">
        <w:t>?</w:t>
      </w:r>
    </w:p>
    <w:p w14:paraId="23E64393" w14:textId="12A48C5B" w:rsidR="004E1A81" w:rsidRPr="008272A6" w:rsidRDefault="00623A89" w:rsidP="00E5163E">
      <w:pPr>
        <w:pStyle w:val="ListParagraph"/>
        <w:numPr>
          <w:ilvl w:val="1"/>
          <w:numId w:val="3"/>
        </w:numPr>
        <w:ind w:left="1260"/>
      </w:pPr>
      <w:hyperlink r:id="rId19" w:history="1">
        <w:r w:rsidR="004E1A81" w:rsidRPr="004E1A81">
          <w:rPr>
            <w:rStyle w:val="Hyperlink"/>
          </w:rPr>
          <w:t>Fraud Division Programs</w:t>
        </w:r>
      </w:hyperlink>
    </w:p>
    <w:p w14:paraId="35140AAD" w14:textId="4D06C9AB" w:rsidR="003F48B9" w:rsidRPr="008272A6" w:rsidRDefault="003F48B9" w:rsidP="00E5163E">
      <w:pPr>
        <w:pStyle w:val="ListParagraph"/>
        <w:numPr>
          <w:ilvl w:val="1"/>
          <w:numId w:val="3"/>
        </w:numPr>
        <w:ind w:left="1260"/>
      </w:pPr>
      <w:r w:rsidRPr="008272A6">
        <w:t xml:space="preserve">Types of Fraud </w:t>
      </w:r>
      <w:r w:rsidR="00E00FE8">
        <w:t>c</w:t>
      </w:r>
      <w:r w:rsidRPr="008272A6">
        <w:t>ases</w:t>
      </w:r>
    </w:p>
    <w:p w14:paraId="5CEA51C2" w14:textId="0B0A86D5" w:rsidR="003F48B9" w:rsidRPr="008272A6" w:rsidRDefault="003F48B9" w:rsidP="00E5163E">
      <w:pPr>
        <w:pStyle w:val="ListParagraph"/>
        <w:numPr>
          <w:ilvl w:val="2"/>
          <w:numId w:val="3"/>
        </w:numPr>
        <w:ind w:left="1980" w:hanging="540"/>
      </w:pPr>
      <w:r w:rsidRPr="008272A6">
        <w:t xml:space="preserve">Statistical </w:t>
      </w:r>
      <w:r w:rsidR="00E00FE8">
        <w:t>i</w:t>
      </w:r>
      <w:r w:rsidRPr="008272A6">
        <w:t xml:space="preserve">nformation </w:t>
      </w:r>
      <w:r w:rsidR="00E00FE8">
        <w:t>r</w:t>
      </w:r>
      <w:r w:rsidRPr="008272A6">
        <w:t xml:space="preserve">egarding </w:t>
      </w:r>
      <w:r w:rsidR="00E00FE8">
        <w:t>r</w:t>
      </w:r>
      <w:r w:rsidRPr="008272A6">
        <w:t xml:space="preserve">ecent </w:t>
      </w:r>
      <w:r w:rsidR="00E00FE8">
        <w:t>a</w:t>
      </w:r>
      <w:r w:rsidRPr="008272A6">
        <w:t xml:space="preserve">rrests, </w:t>
      </w:r>
      <w:r w:rsidR="00E00FE8">
        <w:t>c</w:t>
      </w:r>
      <w:r w:rsidRPr="008272A6">
        <w:t xml:space="preserve">onvictions, </w:t>
      </w:r>
      <w:r w:rsidR="00E00FE8">
        <w:t>r</w:t>
      </w:r>
      <w:r w:rsidRPr="008272A6">
        <w:t xml:space="preserve">eferral </w:t>
      </w:r>
      <w:r w:rsidR="00E00FE8">
        <w:t>r</w:t>
      </w:r>
      <w:r w:rsidRPr="008272A6">
        <w:t>ate</w:t>
      </w:r>
      <w:r w:rsidR="00E00FE8">
        <w:t>s</w:t>
      </w:r>
      <w:r w:rsidRPr="008272A6">
        <w:t>, etc.</w:t>
      </w:r>
      <w:r w:rsidR="004E1A81">
        <w:t xml:space="preserve"> found in the </w:t>
      </w:r>
      <w:hyperlink r:id="rId20" w:history="1">
        <w:r w:rsidR="004E1A81" w:rsidRPr="00F51DA1">
          <w:rPr>
            <w:rStyle w:val="Hyperlink"/>
          </w:rPr>
          <w:t>Annual Report of the Commis</w:t>
        </w:r>
        <w:r w:rsidR="00F51DA1" w:rsidRPr="00F51DA1">
          <w:rPr>
            <w:rStyle w:val="Hyperlink"/>
          </w:rPr>
          <w:t>sioner</w:t>
        </w:r>
      </w:hyperlink>
    </w:p>
    <w:p w14:paraId="244F612F" w14:textId="7989E378" w:rsidR="003F48B9" w:rsidRPr="008272A6" w:rsidRDefault="003F48B9" w:rsidP="00E5163E">
      <w:pPr>
        <w:pStyle w:val="ListParagraph"/>
        <w:numPr>
          <w:ilvl w:val="1"/>
          <w:numId w:val="3"/>
        </w:numPr>
        <w:ind w:left="1260"/>
      </w:pPr>
      <w:r w:rsidRPr="008272A6">
        <w:t xml:space="preserve">Review of </w:t>
      </w:r>
      <w:r w:rsidR="00E00FE8">
        <w:t>r</w:t>
      </w:r>
      <w:r w:rsidRPr="008272A6">
        <w:t xml:space="preserve">ecent </w:t>
      </w:r>
      <w:r w:rsidR="00E00FE8">
        <w:t>c</w:t>
      </w:r>
      <w:r w:rsidRPr="008272A6">
        <w:t>ases (e.g., case examples</w:t>
      </w:r>
      <w:r w:rsidR="00E00FE8">
        <w:t>,</w:t>
      </w:r>
      <w:r w:rsidRPr="008272A6">
        <w:t xml:space="preserve"> administrative actions, resolutions</w:t>
      </w:r>
      <w:r w:rsidR="00F51DA1">
        <w:t xml:space="preserve"> located on the Department’s website: </w:t>
      </w:r>
      <w:hyperlink r:id="rId21" w:history="1">
        <w:r w:rsidR="00B57847" w:rsidRPr="00B57847">
          <w:rPr>
            <w:rStyle w:val="Hyperlink"/>
          </w:rPr>
          <w:t>Special Investigation Unit</w:t>
        </w:r>
        <w:r w:rsidR="00B57847">
          <w:rPr>
            <w:rStyle w:val="Hyperlink"/>
          </w:rPr>
          <w:t xml:space="preserve"> </w:t>
        </w:r>
        <w:r w:rsidR="00B57847" w:rsidRPr="00B57847">
          <w:rPr>
            <w:rStyle w:val="Hyperlink"/>
          </w:rPr>
          <w:t>(</w:t>
        </w:r>
        <w:r w:rsidR="00F51DA1" w:rsidRPr="00B57847">
          <w:rPr>
            <w:rStyle w:val="Hyperlink"/>
          </w:rPr>
          <w:t>SIU</w:t>
        </w:r>
        <w:r w:rsidR="00B57847" w:rsidRPr="00B57847">
          <w:rPr>
            <w:rStyle w:val="Hyperlink"/>
          </w:rPr>
          <w:t>)</w:t>
        </w:r>
        <w:r w:rsidR="00F51DA1" w:rsidRPr="00B57847">
          <w:rPr>
            <w:rStyle w:val="Hyperlink"/>
          </w:rPr>
          <w:t xml:space="preserve"> Information E-Blasts</w:t>
        </w:r>
      </w:hyperlink>
    </w:p>
    <w:p w14:paraId="14501C85" w14:textId="77777777" w:rsidR="003F48B9" w:rsidRPr="008272A6" w:rsidRDefault="003F48B9" w:rsidP="00E5163E">
      <w:pPr>
        <w:pStyle w:val="ListParagraph"/>
        <w:numPr>
          <w:ilvl w:val="0"/>
          <w:numId w:val="3"/>
        </w:numPr>
        <w:ind w:left="900" w:hanging="540"/>
      </w:pPr>
      <w:r w:rsidRPr="008272A6">
        <w:t>General Overview of Insurer Requirements</w:t>
      </w:r>
    </w:p>
    <w:p w14:paraId="6062E8FD" w14:textId="7FC798A6" w:rsidR="003F48B9" w:rsidRPr="008272A6" w:rsidRDefault="003F48B9" w:rsidP="00E5163E">
      <w:pPr>
        <w:pStyle w:val="ListParagraph"/>
        <w:numPr>
          <w:ilvl w:val="1"/>
          <w:numId w:val="3"/>
        </w:numPr>
        <w:ind w:left="1260"/>
      </w:pPr>
      <w:r w:rsidRPr="008272A6">
        <w:t xml:space="preserve">Creation of an Anti-Fraud Unit </w:t>
      </w:r>
      <w:r w:rsidR="002D36F5" w:rsidRPr="002D36F5">
        <w:rPr>
          <w:rStyle w:val="Hyperlink"/>
        </w:rPr>
        <w:t>(</w:t>
      </w:r>
      <w:hyperlink r:id="rId22" w:history="1">
        <w:r w:rsidRPr="0085270F">
          <w:rPr>
            <w:rStyle w:val="Hyperlink"/>
          </w:rPr>
          <w:t>Cal Ins. Code section 1875.20</w:t>
        </w:r>
        <w:r w:rsidR="00F51DA1" w:rsidRPr="0085270F">
          <w:rPr>
            <w:rStyle w:val="Hyperlink"/>
          </w:rPr>
          <w:t xml:space="preserve"> </w:t>
        </w:r>
        <w:r w:rsidR="002D36F5">
          <w:rPr>
            <w:rStyle w:val="Hyperlink"/>
          </w:rPr>
          <w:t>through</w:t>
        </w:r>
        <w:r w:rsidR="00F51DA1" w:rsidRPr="0085270F">
          <w:rPr>
            <w:rStyle w:val="Hyperlink"/>
          </w:rPr>
          <w:t xml:space="preserve"> 1875.23</w:t>
        </w:r>
      </w:hyperlink>
      <w:r w:rsidR="002D36F5">
        <w:rPr>
          <w:rStyle w:val="Hyperlink"/>
        </w:rPr>
        <w:t>)</w:t>
      </w:r>
      <w:r w:rsidR="00F51DA1">
        <w:t xml:space="preserve"> and exceptions from </w:t>
      </w:r>
      <w:hyperlink r:id="rId23" w:history="1">
        <w:r w:rsidR="00F51DA1" w:rsidRPr="0085270F">
          <w:rPr>
            <w:rStyle w:val="Hyperlink"/>
          </w:rPr>
          <w:t>California Code of Regulations</w:t>
        </w:r>
        <w:r w:rsidR="002D36F5">
          <w:rPr>
            <w:rStyle w:val="Hyperlink"/>
          </w:rPr>
          <w:t xml:space="preserve"> </w:t>
        </w:r>
        <w:r w:rsidR="002D36F5" w:rsidRPr="002D36F5">
          <w:rPr>
            <w:rStyle w:val="Hyperlink"/>
          </w:rPr>
          <w:t>(Cal. Code of Regs.)</w:t>
        </w:r>
        <w:r w:rsidR="00A722B6" w:rsidRPr="0085270F">
          <w:rPr>
            <w:rStyle w:val="Hyperlink"/>
          </w:rPr>
          <w:t xml:space="preserve"> Title 10</w:t>
        </w:r>
        <w:r w:rsidR="002D36F5">
          <w:rPr>
            <w:rStyle w:val="Hyperlink"/>
          </w:rPr>
          <w:t>,</w:t>
        </w:r>
        <w:r w:rsidR="002D36F5" w:rsidRPr="002D36F5">
          <w:rPr>
            <w:rStyle w:val="Hyperlink"/>
          </w:rPr>
          <w:t xml:space="preserve"> section 2698.30(k)</w:t>
        </w:r>
        <w:r w:rsidR="00F51DA1" w:rsidRPr="0085270F">
          <w:rPr>
            <w:rStyle w:val="Hyperlink"/>
          </w:rPr>
          <w:t xml:space="preserve"> </w:t>
        </w:r>
      </w:hyperlink>
    </w:p>
    <w:p w14:paraId="4D912779" w14:textId="46CB4526" w:rsidR="003F48B9" w:rsidRDefault="003F48B9" w:rsidP="00E5163E">
      <w:pPr>
        <w:pStyle w:val="ListParagraph"/>
        <w:numPr>
          <w:ilvl w:val="1"/>
          <w:numId w:val="3"/>
        </w:numPr>
        <w:ind w:left="1260"/>
      </w:pPr>
      <w:r w:rsidRPr="008272A6">
        <w:t xml:space="preserve">Comply with Insurance Fraud Prevention Act and California Special Investigation Unit </w:t>
      </w:r>
      <w:r w:rsidR="00163212">
        <w:t xml:space="preserve">(SIU) </w:t>
      </w:r>
      <w:r w:rsidRPr="008272A6">
        <w:t xml:space="preserve">Regulations </w:t>
      </w:r>
      <w:r w:rsidR="002D36F5" w:rsidRPr="002D36F5">
        <w:rPr>
          <w:rStyle w:val="Hyperlink"/>
        </w:rPr>
        <w:t>(</w:t>
      </w:r>
      <w:hyperlink r:id="rId24" w:history="1">
        <w:r w:rsidR="00E00FE8" w:rsidRPr="0085270F">
          <w:rPr>
            <w:rStyle w:val="Hyperlink"/>
          </w:rPr>
          <w:t>Cal. Code of Regs</w:t>
        </w:r>
        <w:r w:rsidR="002D36F5">
          <w:rPr>
            <w:rStyle w:val="Hyperlink"/>
          </w:rPr>
          <w:t xml:space="preserve"> Title 10,</w:t>
        </w:r>
        <w:r w:rsidR="009F3CE4" w:rsidRPr="0085270F">
          <w:rPr>
            <w:rStyle w:val="Hyperlink"/>
          </w:rPr>
          <w:t xml:space="preserve"> </w:t>
        </w:r>
        <w:r w:rsidR="00B01410" w:rsidRPr="0085270F">
          <w:rPr>
            <w:rStyle w:val="Hyperlink"/>
          </w:rPr>
          <w:t>s</w:t>
        </w:r>
        <w:r w:rsidRPr="0085270F">
          <w:rPr>
            <w:rStyle w:val="Hyperlink"/>
          </w:rPr>
          <w:t>ections 2698.30 through 2698.42</w:t>
        </w:r>
      </w:hyperlink>
      <w:r w:rsidR="002D36F5">
        <w:rPr>
          <w:rStyle w:val="Hyperlink"/>
        </w:rPr>
        <w:t>)</w:t>
      </w:r>
    </w:p>
    <w:p w14:paraId="35FFA89C" w14:textId="22987D4A" w:rsidR="00A0584F" w:rsidRDefault="00A0584F" w:rsidP="00E5163E">
      <w:pPr>
        <w:pStyle w:val="ListParagraph"/>
        <w:numPr>
          <w:ilvl w:val="2"/>
          <w:numId w:val="3"/>
        </w:numPr>
        <w:ind w:left="1980" w:hanging="540"/>
      </w:pPr>
      <w:r>
        <w:t>Definitions</w:t>
      </w:r>
    </w:p>
    <w:p w14:paraId="282D393C" w14:textId="29E91817" w:rsidR="00A0584F" w:rsidRDefault="00A0584F" w:rsidP="00E5163E">
      <w:pPr>
        <w:pStyle w:val="ListParagraph"/>
        <w:numPr>
          <w:ilvl w:val="2"/>
          <w:numId w:val="3"/>
        </w:numPr>
        <w:ind w:left="1980" w:hanging="540"/>
      </w:pPr>
      <w:r>
        <w:t>Adequacy of SIU operation</w:t>
      </w:r>
    </w:p>
    <w:p w14:paraId="6E4E0624" w14:textId="5B70AE36" w:rsidR="00A0584F" w:rsidRDefault="00A0584F" w:rsidP="00E5163E">
      <w:pPr>
        <w:pStyle w:val="ListParagraph"/>
        <w:numPr>
          <w:ilvl w:val="2"/>
          <w:numId w:val="3"/>
        </w:numPr>
        <w:ind w:left="1980" w:hanging="540"/>
      </w:pPr>
      <w:r>
        <w:t>Cooperation with law enforcement insurance fraud investigation requirements</w:t>
      </w:r>
    </w:p>
    <w:p w14:paraId="0CD84488" w14:textId="34C0D9E7" w:rsidR="00A0584F" w:rsidRDefault="00A0584F" w:rsidP="00E5163E">
      <w:pPr>
        <w:pStyle w:val="ListParagraph"/>
        <w:numPr>
          <w:ilvl w:val="2"/>
          <w:numId w:val="3"/>
        </w:numPr>
        <w:ind w:left="1980" w:hanging="540"/>
      </w:pPr>
      <w:r>
        <w:t>Fraud detection requirements</w:t>
      </w:r>
    </w:p>
    <w:p w14:paraId="65743587" w14:textId="3CC9CE80" w:rsidR="00A0584F" w:rsidRDefault="00A0584F" w:rsidP="00E5163E">
      <w:pPr>
        <w:pStyle w:val="ListParagraph"/>
        <w:numPr>
          <w:ilvl w:val="2"/>
          <w:numId w:val="3"/>
        </w:numPr>
        <w:ind w:left="1980" w:hanging="540"/>
      </w:pPr>
      <w:r>
        <w:t>SIU insurance fraud investigation requirements</w:t>
      </w:r>
    </w:p>
    <w:p w14:paraId="2503DB0B" w14:textId="2070A0D4" w:rsidR="00A0584F" w:rsidRDefault="00A0584F" w:rsidP="00E5163E">
      <w:pPr>
        <w:pStyle w:val="ListParagraph"/>
        <w:numPr>
          <w:ilvl w:val="2"/>
          <w:numId w:val="3"/>
        </w:numPr>
        <w:ind w:left="1980" w:hanging="540"/>
      </w:pPr>
      <w:r>
        <w:t>Referral of suspected fraud to the Department</w:t>
      </w:r>
    </w:p>
    <w:p w14:paraId="1BD6B03F" w14:textId="470EAF14" w:rsidR="00A0584F" w:rsidRPr="008272A6" w:rsidRDefault="00A0584F" w:rsidP="00E5163E">
      <w:pPr>
        <w:pStyle w:val="ListParagraph"/>
        <w:numPr>
          <w:ilvl w:val="2"/>
          <w:numId w:val="3"/>
        </w:numPr>
        <w:ind w:left="1980" w:hanging="540"/>
      </w:pPr>
      <w:r>
        <w:t>Training requirements for SIU staff and integral anti-fraud personnel</w:t>
      </w:r>
    </w:p>
    <w:p w14:paraId="54A42692" w14:textId="240656CD" w:rsidR="003F48B9" w:rsidRPr="008272A6" w:rsidRDefault="003F48B9" w:rsidP="00E5163E">
      <w:pPr>
        <w:pStyle w:val="ListParagraph"/>
        <w:numPr>
          <w:ilvl w:val="0"/>
          <w:numId w:val="3"/>
        </w:numPr>
        <w:ind w:left="900" w:hanging="540"/>
      </w:pPr>
      <w:r w:rsidRPr="008272A6">
        <w:t xml:space="preserve">Detection </w:t>
      </w:r>
      <w:r w:rsidR="002D36F5" w:rsidRPr="002D36F5">
        <w:rPr>
          <w:rStyle w:val="Hyperlink"/>
        </w:rPr>
        <w:t>(</w:t>
      </w:r>
      <w:hyperlink r:id="rId25" w:history="1">
        <w:r w:rsidRPr="0085270F">
          <w:rPr>
            <w:rStyle w:val="Hyperlink"/>
          </w:rPr>
          <w:t>Cal. Code of Regs.</w:t>
        </w:r>
        <w:r w:rsidR="00D93A83" w:rsidRPr="0085270F">
          <w:rPr>
            <w:rStyle w:val="Hyperlink"/>
          </w:rPr>
          <w:t xml:space="preserve"> </w:t>
        </w:r>
        <w:r w:rsidR="002D36F5">
          <w:rPr>
            <w:rStyle w:val="Hyperlink"/>
          </w:rPr>
          <w:t xml:space="preserve">Title 10, </w:t>
        </w:r>
        <w:r w:rsidRPr="0085270F">
          <w:rPr>
            <w:rStyle w:val="Hyperlink"/>
          </w:rPr>
          <w:t>section 2698.35</w:t>
        </w:r>
      </w:hyperlink>
      <w:r w:rsidR="002D36F5">
        <w:rPr>
          <w:rStyle w:val="Hyperlink"/>
        </w:rPr>
        <w:t>)</w:t>
      </w:r>
    </w:p>
    <w:p w14:paraId="3868922C" w14:textId="1751DF05" w:rsidR="003F48B9" w:rsidRPr="008272A6" w:rsidRDefault="003F48B9" w:rsidP="00E5163E">
      <w:pPr>
        <w:pStyle w:val="ListParagraph"/>
        <w:numPr>
          <w:ilvl w:val="0"/>
          <w:numId w:val="5"/>
        </w:numPr>
        <w:ind w:left="1260"/>
      </w:pPr>
      <w:r w:rsidRPr="008272A6">
        <w:t xml:space="preserve">Databases </w:t>
      </w:r>
      <w:r w:rsidR="00E00FE8">
        <w:t>a</w:t>
      </w:r>
      <w:r w:rsidRPr="008272A6">
        <w:t>vailable</w:t>
      </w:r>
    </w:p>
    <w:p w14:paraId="1EBC6160" w14:textId="4C54C61A" w:rsidR="003F48B9" w:rsidRPr="008272A6" w:rsidRDefault="003F48B9" w:rsidP="00E5163E">
      <w:pPr>
        <w:pStyle w:val="ListParagraph"/>
        <w:numPr>
          <w:ilvl w:val="3"/>
          <w:numId w:val="6"/>
        </w:numPr>
        <w:ind w:left="1890" w:hanging="450"/>
      </w:pPr>
      <w:r w:rsidRPr="008272A6">
        <w:t xml:space="preserve">Insurance Services Office </w:t>
      </w:r>
      <w:r w:rsidR="002D36F5" w:rsidRPr="002D36F5">
        <w:rPr>
          <w:rStyle w:val="Hyperlink"/>
        </w:rPr>
        <w:t>(</w:t>
      </w:r>
      <w:hyperlink r:id="rId26" w:history="1">
        <w:r w:rsidRPr="0085270F">
          <w:rPr>
            <w:rStyle w:val="Hyperlink"/>
          </w:rPr>
          <w:t>Cal. Ins. Code section 1875.14</w:t>
        </w:r>
      </w:hyperlink>
      <w:r w:rsidR="002D36F5">
        <w:rPr>
          <w:rStyle w:val="Hyperlink"/>
        </w:rPr>
        <w:t>)</w:t>
      </w:r>
    </w:p>
    <w:p w14:paraId="3BF06CFA" w14:textId="378C99D7" w:rsidR="003F48B9" w:rsidRPr="008272A6" w:rsidRDefault="003F48B9" w:rsidP="00E5163E">
      <w:pPr>
        <w:pStyle w:val="ListParagraph"/>
        <w:numPr>
          <w:ilvl w:val="3"/>
          <w:numId w:val="6"/>
        </w:numPr>
        <w:ind w:left="1890" w:hanging="450"/>
      </w:pPr>
      <w:r w:rsidRPr="008272A6">
        <w:t xml:space="preserve">Arson </w:t>
      </w:r>
      <w:r w:rsidR="00E00FE8">
        <w:t>d</w:t>
      </w:r>
      <w:r w:rsidRPr="008272A6">
        <w:t xml:space="preserve">atabase </w:t>
      </w:r>
      <w:r w:rsidR="00E00FE8">
        <w:t>m</w:t>
      </w:r>
      <w:r w:rsidRPr="008272A6">
        <w:t>aintained by the California Department of Justice</w:t>
      </w:r>
      <w:r w:rsidR="008064B8">
        <w:t xml:space="preserve"> </w:t>
      </w:r>
      <w:r w:rsidR="002D36F5" w:rsidRPr="002D36F5">
        <w:rPr>
          <w:rStyle w:val="Hyperlink"/>
        </w:rPr>
        <w:t>(</w:t>
      </w:r>
      <w:hyperlink r:id="rId27" w:history="1">
        <w:r w:rsidRPr="0085270F">
          <w:rPr>
            <w:rStyle w:val="Hyperlink"/>
          </w:rPr>
          <w:t>Cal. Ins Code section 1874.8</w:t>
        </w:r>
      </w:hyperlink>
      <w:r w:rsidR="002D36F5">
        <w:rPr>
          <w:rStyle w:val="Hyperlink"/>
        </w:rPr>
        <w:t>)</w:t>
      </w:r>
    </w:p>
    <w:p w14:paraId="11918924" w14:textId="79043E1C" w:rsidR="003F48B9" w:rsidRPr="008272A6" w:rsidRDefault="003F48B9" w:rsidP="00E5163E">
      <w:pPr>
        <w:pStyle w:val="ListParagraph"/>
        <w:numPr>
          <w:ilvl w:val="0"/>
          <w:numId w:val="5"/>
        </w:numPr>
        <w:ind w:left="1260"/>
      </w:pPr>
      <w:r w:rsidRPr="008272A6">
        <w:t xml:space="preserve">Fraud </w:t>
      </w:r>
      <w:r w:rsidR="00E00FE8">
        <w:t>w</w:t>
      </w:r>
      <w:r w:rsidRPr="008272A6">
        <w:t xml:space="preserve">arning </w:t>
      </w:r>
      <w:r w:rsidR="00E00FE8">
        <w:t>l</w:t>
      </w:r>
      <w:r w:rsidRPr="008272A6">
        <w:t xml:space="preserve">anguage </w:t>
      </w:r>
      <w:r w:rsidR="002D36F5" w:rsidRPr="002D36F5">
        <w:rPr>
          <w:rStyle w:val="Hyperlink"/>
        </w:rPr>
        <w:t>(</w:t>
      </w:r>
      <w:hyperlink r:id="rId28" w:history="1">
        <w:r w:rsidRPr="0085270F">
          <w:rPr>
            <w:rStyle w:val="Hyperlink"/>
          </w:rPr>
          <w:t>Cal. Ins. Code section 1871.2</w:t>
        </w:r>
      </w:hyperlink>
      <w:r w:rsidR="002D36F5">
        <w:rPr>
          <w:rStyle w:val="Hyperlink"/>
        </w:rPr>
        <w:t>)</w:t>
      </w:r>
    </w:p>
    <w:p w14:paraId="1746E726" w14:textId="77777777" w:rsidR="003F48B9" w:rsidRPr="008272A6" w:rsidRDefault="003F48B9" w:rsidP="00E5163E">
      <w:pPr>
        <w:pStyle w:val="ListParagraph"/>
        <w:numPr>
          <w:ilvl w:val="0"/>
          <w:numId w:val="5"/>
        </w:numPr>
        <w:ind w:left="1260"/>
      </w:pPr>
      <w:r w:rsidRPr="008272A6">
        <w:lastRenderedPageBreak/>
        <w:t>Trends</w:t>
      </w:r>
    </w:p>
    <w:p w14:paraId="161E51B5" w14:textId="7F51B673" w:rsidR="003F48B9" w:rsidRPr="008272A6" w:rsidRDefault="00A0584F" w:rsidP="00E5163E">
      <w:pPr>
        <w:pStyle w:val="ListParagraph"/>
        <w:numPr>
          <w:ilvl w:val="0"/>
          <w:numId w:val="5"/>
        </w:numPr>
        <w:ind w:left="1260"/>
      </w:pPr>
      <w:r>
        <w:t xml:space="preserve">Fraud </w:t>
      </w:r>
      <w:r w:rsidR="003F48B9" w:rsidRPr="008272A6">
        <w:t>Indicators</w:t>
      </w:r>
    </w:p>
    <w:p w14:paraId="2431495F" w14:textId="77777777" w:rsidR="003F48B9" w:rsidRPr="008272A6" w:rsidRDefault="003F48B9" w:rsidP="00E5163E">
      <w:pPr>
        <w:pStyle w:val="ListParagraph"/>
        <w:numPr>
          <w:ilvl w:val="3"/>
          <w:numId w:val="3"/>
        </w:numPr>
        <w:ind w:left="1890" w:hanging="450"/>
      </w:pPr>
      <w:r w:rsidRPr="008272A6">
        <w:t>Underwriting and/or new policy indicators</w:t>
      </w:r>
    </w:p>
    <w:p w14:paraId="11D89955" w14:textId="31777B3C" w:rsidR="003F48B9" w:rsidRPr="008272A6" w:rsidRDefault="003F48B9" w:rsidP="00E5163E">
      <w:pPr>
        <w:pStyle w:val="ListParagraph"/>
        <w:numPr>
          <w:ilvl w:val="0"/>
          <w:numId w:val="3"/>
        </w:numPr>
        <w:ind w:left="900" w:hanging="540"/>
      </w:pPr>
      <w:r w:rsidRPr="008272A6">
        <w:t xml:space="preserve">Referral </w:t>
      </w:r>
      <w:r w:rsidR="002D36F5" w:rsidRPr="002D36F5">
        <w:rPr>
          <w:rStyle w:val="Hyperlink"/>
        </w:rPr>
        <w:t>(</w:t>
      </w:r>
      <w:hyperlink r:id="rId29" w:history="1">
        <w:r w:rsidRPr="0085270F">
          <w:rPr>
            <w:rStyle w:val="Hyperlink"/>
          </w:rPr>
          <w:t>Cal. Ins. Code section 1872.41</w:t>
        </w:r>
      </w:hyperlink>
      <w:r w:rsidR="002D36F5">
        <w:rPr>
          <w:rStyle w:val="Hyperlink"/>
        </w:rPr>
        <w:t>)</w:t>
      </w:r>
    </w:p>
    <w:p w14:paraId="3D7F00DC" w14:textId="7CD15628" w:rsidR="003F48B9" w:rsidRDefault="003F48B9" w:rsidP="00E5163E">
      <w:pPr>
        <w:pStyle w:val="ListParagraph"/>
        <w:numPr>
          <w:ilvl w:val="1"/>
          <w:numId w:val="3"/>
        </w:numPr>
        <w:ind w:left="1350" w:hanging="450"/>
      </w:pPr>
      <w:r w:rsidRPr="008272A6">
        <w:t xml:space="preserve">Single </w:t>
      </w:r>
      <w:r w:rsidR="00E00FE8">
        <w:t>c</w:t>
      </w:r>
      <w:r w:rsidRPr="008272A6">
        <w:t>ompany</w:t>
      </w:r>
    </w:p>
    <w:p w14:paraId="05E32A74" w14:textId="0EC90530" w:rsidR="00A0584F" w:rsidRPr="008272A6" w:rsidRDefault="00A0584F" w:rsidP="00E5163E">
      <w:pPr>
        <w:pStyle w:val="ListParagraph"/>
        <w:numPr>
          <w:ilvl w:val="2"/>
          <w:numId w:val="3"/>
        </w:numPr>
        <w:ind w:left="1800" w:hanging="270"/>
      </w:pPr>
      <w:r>
        <w:t>SIU housed within company</w:t>
      </w:r>
    </w:p>
    <w:p w14:paraId="4C50CD7D" w14:textId="50D8B337" w:rsidR="003F48B9" w:rsidRDefault="003F48B9" w:rsidP="00E5163E">
      <w:pPr>
        <w:pStyle w:val="ListParagraph"/>
        <w:numPr>
          <w:ilvl w:val="1"/>
          <w:numId w:val="3"/>
        </w:numPr>
        <w:ind w:left="1350" w:hanging="450"/>
      </w:pPr>
      <w:r w:rsidRPr="008272A6">
        <w:t xml:space="preserve">Multiple </w:t>
      </w:r>
      <w:r w:rsidR="00E00FE8">
        <w:t>c</w:t>
      </w:r>
      <w:r w:rsidRPr="008272A6">
        <w:t>ompany</w:t>
      </w:r>
    </w:p>
    <w:p w14:paraId="24602856" w14:textId="34338B99" w:rsidR="00A0584F" w:rsidRDefault="00A0584F" w:rsidP="00E5163E">
      <w:pPr>
        <w:pStyle w:val="ListParagraph"/>
        <w:numPr>
          <w:ilvl w:val="2"/>
          <w:numId w:val="3"/>
        </w:numPr>
        <w:ind w:left="1800" w:hanging="270"/>
      </w:pPr>
      <w:r>
        <w:t>Primary: houses SIU</w:t>
      </w:r>
    </w:p>
    <w:p w14:paraId="387F2F0B" w14:textId="3A69D0D5" w:rsidR="00A0584F" w:rsidRPr="008272A6" w:rsidRDefault="00A0584F" w:rsidP="00E5163E">
      <w:pPr>
        <w:pStyle w:val="ListParagraph"/>
        <w:numPr>
          <w:ilvl w:val="2"/>
          <w:numId w:val="3"/>
        </w:numPr>
        <w:ind w:left="1800" w:hanging="270"/>
      </w:pPr>
      <w:r>
        <w:t>Subsidiary: sends their fraud referrals to primary company SIU</w:t>
      </w:r>
    </w:p>
    <w:p w14:paraId="52E81EE2" w14:textId="77777777" w:rsidR="003F48B9" w:rsidRPr="008272A6" w:rsidRDefault="003F48B9" w:rsidP="00E5163E">
      <w:pPr>
        <w:pStyle w:val="ListParagraph"/>
        <w:numPr>
          <w:ilvl w:val="0"/>
          <w:numId w:val="3"/>
        </w:numPr>
        <w:ind w:left="900" w:hanging="540"/>
      </w:pPr>
      <w:r w:rsidRPr="008272A6">
        <w:t>Cooperation with Law Enforcement</w:t>
      </w:r>
    </w:p>
    <w:p w14:paraId="2DF5A237" w14:textId="4884D064" w:rsidR="003F48B9" w:rsidRPr="008560ED" w:rsidRDefault="00623A89" w:rsidP="003E22DE">
      <w:pPr>
        <w:pStyle w:val="ListParagraph"/>
        <w:numPr>
          <w:ilvl w:val="1"/>
          <w:numId w:val="3"/>
        </w:numPr>
        <w:ind w:left="1260"/>
        <w:rPr>
          <w:color w:val="auto"/>
        </w:rPr>
      </w:pPr>
      <w:hyperlink r:id="rId30" w:history="1">
        <w:r w:rsidR="0085270F">
          <w:rPr>
            <w:rStyle w:val="Hyperlink"/>
          </w:rPr>
          <w:t xml:space="preserve">Cal. Code of Reg. </w:t>
        </w:r>
        <w:r w:rsidR="002D36F5">
          <w:rPr>
            <w:rStyle w:val="Hyperlink"/>
          </w:rPr>
          <w:t xml:space="preserve">Title 10, </w:t>
        </w:r>
        <w:r w:rsidR="0085270F">
          <w:rPr>
            <w:rStyle w:val="Hyperlink"/>
          </w:rPr>
          <w:t>section 2698.34</w:t>
        </w:r>
      </w:hyperlink>
    </w:p>
    <w:p w14:paraId="037C9D95" w14:textId="578844E9" w:rsidR="00C24319" w:rsidRPr="008560ED" w:rsidRDefault="00C24319" w:rsidP="003E22DE">
      <w:pPr>
        <w:pStyle w:val="ListParagraph"/>
        <w:tabs>
          <w:tab w:val="left" w:pos="-1080"/>
          <w:tab w:val="left" w:pos="-720"/>
          <w:tab w:val="left" w:pos="2880"/>
          <w:tab w:val="left" w:pos="4092"/>
        </w:tabs>
        <w:ind w:left="810" w:hanging="450"/>
        <w:rPr>
          <w:color w:val="auto"/>
          <w:szCs w:val="24"/>
        </w:rPr>
      </w:pPr>
      <w:r w:rsidRPr="008560ED">
        <w:rPr>
          <w:color w:val="auto"/>
          <w:szCs w:val="24"/>
        </w:rPr>
        <w:t>F.</w:t>
      </w:r>
      <w:r w:rsidRPr="008560ED">
        <w:rPr>
          <w:color w:val="auto"/>
          <w:szCs w:val="24"/>
        </w:rPr>
        <w:tab/>
        <w:t>Suspected Insurance Fraud</w:t>
      </w:r>
    </w:p>
    <w:p w14:paraId="5EB61B8B" w14:textId="09853EF2" w:rsidR="00C24319" w:rsidRPr="008560ED" w:rsidRDefault="00C24319" w:rsidP="003E22DE">
      <w:pPr>
        <w:tabs>
          <w:tab w:val="left" w:pos="-1440"/>
        </w:tabs>
        <w:ind w:left="1260" w:hanging="360"/>
        <w:rPr>
          <w:color w:val="auto"/>
          <w:szCs w:val="24"/>
        </w:rPr>
      </w:pPr>
      <w:r w:rsidRPr="008560ED">
        <w:rPr>
          <w:color w:val="auto"/>
          <w:szCs w:val="24"/>
        </w:rPr>
        <w:t>a.</w:t>
      </w:r>
      <w:r w:rsidRPr="008560ED">
        <w:rPr>
          <w:color w:val="auto"/>
          <w:szCs w:val="24"/>
        </w:rPr>
        <w:tab/>
        <w:t>Be able to identify:</w:t>
      </w:r>
    </w:p>
    <w:p w14:paraId="0B4B891A" w14:textId="77777777" w:rsidR="00C24319" w:rsidRPr="008560ED" w:rsidRDefault="00C24319" w:rsidP="003E22DE">
      <w:pPr>
        <w:tabs>
          <w:tab w:val="left" w:pos="-1440"/>
        </w:tabs>
        <w:ind w:left="1620" w:hanging="360"/>
        <w:rPr>
          <w:color w:val="auto"/>
          <w:szCs w:val="24"/>
        </w:rPr>
      </w:pPr>
      <w:r w:rsidRPr="008560ED">
        <w:rPr>
          <w:color w:val="auto"/>
          <w:szCs w:val="24"/>
        </w:rPr>
        <w:t>i.</w:t>
      </w:r>
      <w:r w:rsidRPr="008560ED">
        <w:rPr>
          <w:color w:val="auto"/>
          <w:szCs w:val="24"/>
        </w:rPr>
        <w:tab/>
        <w:t>Common circumstances that would suggest the possibility of fraud</w:t>
      </w:r>
    </w:p>
    <w:p w14:paraId="51AC8C6B" w14:textId="254F815D" w:rsidR="00405316" w:rsidRDefault="00C24319" w:rsidP="003E22DE">
      <w:pPr>
        <w:tabs>
          <w:tab w:val="left" w:pos="-1440"/>
        </w:tabs>
        <w:ind w:left="1620" w:hanging="360"/>
        <w:rPr>
          <w:color w:val="auto"/>
          <w:szCs w:val="24"/>
        </w:rPr>
      </w:pPr>
      <w:r w:rsidRPr="008560ED">
        <w:rPr>
          <w:color w:val="auto"/>
          <w:szCs w:val="24"/>
        </w:rPr>
        <w:t>ii.</w:t>
      </w:r>
      <w:r w:rsidRPr="008560ED">
        <w:rPr>
          <w:color w:val="auto"/>
          <w:szCs w:val="24"/>
        </w:rPr>
        <w:tab/>
        <w:t>Efforts to combat fraud:</w:t>
      </w:r>
    </w:p>
    <w:p w14:paraId="41FB643B" w14:textId="76229769" w:rsidR="00C24319" w:rsidRPr="008560ED" w:rsidRDefault="00C24319" w:rsidP="003E22DE">
      <w:pPr>
        <w:pStyle w:val="ListParagraph"/>
        <w:tabs>
          <w:tab w:val="left" w:pos="-1440"/>
        </w:tabs>
        <w:ind w:left="2070" w:hanging="450"/>
        <w:rPr>
          <w:color w:val="auto"/>
          <w:szCs w:val="24"/>
        </w:rPr>
      </w:pPr>
      <w:r w:rsidRPr="008560ED">
        <w:rPr>
          <w:color w:val="auto"/>
          <w:szCs w:val="24"/>
        </w:rPr>
        <w:t>1.</w:t>
      </w:r>
      <w:r w:rsidRPr="008560ED">
        <w:rPr>
          <w:color w:val="auto"/>
          <w:szCs w:val="24"/>
        </w:rPr>
        <w:tab/>
        <w:t xml:space="preserve">Fraud Division </w:t>
      </w:r>
      <w:r w:rsidR="002D36F5" w:rsidRPr="002D36F5">
        <w:rPr>
          <w:rStyle w:val="Hyperlink"/>
        </w:rPr>
        <w:t>(</w:t>
      </w:r>
      <w:hyperlink r:id="rId31" w:history="1">
        <w:r w:rsidRPr="0085270F">
          <w:rPr>
            <w:rStyle w:val="Hyperlink"/>
            <w:szCs w:val="24"/>
          </w:rPr>
          <w:t>Cal. Ins. Code section 1872</w:t>
        </w:r>
      </w:hyperlink>
      <w:r w:rsidR="002D36F5">
        <w:rPr>
          <w:rStyle w:val="Hyperlink"/>
          <w:szCs w:val="24"/>
        </w:rPr>
        <w:t>)</w:t>
      </w:r>
    </w:p>
    <w:p w14:paraId="6393B318" w14:textId="6F66C36F" w:rsidR="00405316" w:rsidRDefault="00C24319" w:rsidP="003E22DE">
      <w:pPr>
        <w:pStyle w:val="ListParagraph"/>
        <w:tabs>
          <w:tab w:val="left" w:pos="-1440"/>
        </w:tabs>
        <w:ind w:left="2070" w:hanging="450"/>
        <w:rPr>
          <w:color w:val="auto"/>
          <w:szCs w:val="24"/>
        </w:rPr>
      </w:pPr>
      <w:r w:rsidRPr="008560ED">
        <w:rPr>
          <w:color w:val="auto"/>
          <w:szCs w:val="24"/>
        </w:rPr>
        <w:t>2.</w:t>
      </w:r>
      <w:r w:rsidRPr="008560ED">
        <w:rPr>
          <w:color w:val="auto"/>
          <w:szCs w:val="24"/>
        </w:rPr>
        <w:tab/>
        <w:t xml:space="preserve">Arson Reporting Information System </w:t>
      </w:r>
      <w:r w:rsidR="002D36F5" w:rsidRPr="002D36F5">
        <w:rPr>
          <w:rStyle w:val="Hyperlink"/>
        </w:rPr>
        <w:t>(</w:t>
      </w:r>
      <w:hyperlink r:id="rId32" w:history="1">
        <w:r w:rsidRPr="0085270F">
          <w:rPr>
            <w:rStyle w:val="Hyperlink"/>
            <w:szCs w:val="24"/>
          </w:rPr>
          <w:t>Cal. Ins. Code section 1875.8</w:t>
        </w:r>
      </w:hyperlink>
      <w:r w:rsidR="002D36F5">
        <w:rPr>
          <w:rStyle w:val="Hyperlink"/>
          <w:szCs w:val="24"/>
        </w:rPr>
        <w:t>)</w:t>
      </w:r>
    </w:p>
    <w:p w14:paraId="2ECD1095" w14:textId="5464594E" w:rsidR="00C24319" w:rsidRPr="008560ED" w:rsidRDefault="00C24319" w:rsidP="003E22DE">
      <w:pPr>
        <w:pStyle w:val="ListParagraph"/>
        <w:tabs>
          <w:tab w:val="left" w:pos="-1440"/>
        </w:tabs>
        <w:ind w:left="2070" w:hanging="450"/>
        <w:rPr>
          <w:color w:val="auto"/>
          <w:szCs w:val="24"/>
        </w:rPr>
      </w:pPr>
      <w:r w:rsidRPr="008560ED">
        <w:rPr>
          <w:color w:val="auto"/>
          <w:szCs w:val="24"/>
        </w:rPr>
        <w:t>3.</w:t>
      </w:r>
      <w:r w:rsidRPr="008560ED">
        <w:rPr>
          <w:color w:val="auto"/>
          <w:szCs w:val="24"/>
        </w:rPr>
        <w:tab/>
        <w:t xml:space="preserve">Claims Analysis Bureau </w:t>
      </w:r>
      <w:r w:rsidR="002D36F5" w:rsidRPr="002D36F5">
        <w:rPr>
          <w:rStyle w:val="Hyperlink"/>
        </w:rPr>
        <w:t>(</w:t>
      </w:r>
      <w:hyperlink r:id="rId33" w:history="1">
        <w:r w:rsidRPr="0085270F">
          <w:rPr>
            <w:rStyle w:val="Hyperlink"/>
            <w:szCs w:val="24"/>
          </w:rPr>
          <w:t>Cal. Ins. Code section 1875.14</w:t>
        </w:r>
      </w:hyperlink>
      <w:r w:rsidR="002D36F5">
        <w:rPr>
          <w:rStyle w:val="Hyperlink"/>
          <w:szCs w:val="24"/>
        </w:rPr>
        <w:t>)</w:t>
      </w:r>
    </w:p>
    <w:p w14:paraId="344A91D6" w14:textId="5D71C5F0" w:rsidR="00405316" w:rsidRDefault="00C24319" w:rsidP="003E22DE">
      <w:pPr>
        <w:pStyle w:val="ListParagraph"/>
        <w:tabs>
          <w:tab w:val="left" w:pos="-1440"/>
        </w:tabs>
        <w:ind w:left="2070" w:hanging="450"/>
        <w:rPr>
          <w:color w:val="auto"/>
          <w:szCs w:val="24"/>
        </w:rPr>
      </w:pPr>
      <w:r w:rsidRPr="008560ED">
        <w:rPr>
          <w:color w:val="auto"/>
          <w:szCs w:val="24"/>
        </w:rPr>
        <w:t>4.</w:t>
      </w:r>
      <w:r w:rsidRPr="008560ED">
        <w:rPr>
          <w:color w:val="auto"/>
          <w:szCs w:val="24"/>
        </w:rPr>
        <w:tab/>
      </w:r>
      <w:r w:rsidR="00C233F5" w:rsidRPr="008560ED">
        <w:rPr>
          <w:color w:val="auto"/>
          <w:szCs w:val="24"/>
        </w:rPr>
        <w:t>SIU</w:t>
      </w:r>
      <w:r w:rsidRPr="008560ED">
        <w:rPr>
          <w:color w:val="auto"/>
          <w:szCs w:val="24"/>
        </w:rPr>
        <w:t xml:space="preserve"> require</w:t>
      </w:r>
      <w:r w:rsidR="00434D11" w:rsidRPr="008560ED">
        <w:rPr>
          <w:color w:val="auto"/>
          <w:szCs w:val="24"/>
        </w:rPr>
        <w:t>ments</w:t>
      </w:r>
      <w:r w:rsidRPr="008560ED">
        <w:rPr>
          <w:color w:val="auto"/>
          <w:szCs w:val="24"/>
        </w:rPr>
        <w:t xml:space="preserve"> </w:t>
      </w:r>
      <w:r w:rsidR="002D36F5" w:rsidRPr="002D36F5">
        <w:rPr>
          <w:rStyle w:val="Hyperlink"/>
        </w:rPr>
        <w:t>(</w:t>
      </w:r>
      <w:hyperlink r:id="rId34" w:history="1">
        <w:r w:rsidRPr="0085270F">
          <w:rPr>
            <w:rStyle w:val="Hyperlink"/>
            <w:szCs w:val="24"/>
          </w:rPr>
          <w:t>Cal. Ins. Code section 1875.20</w:t>
        </w:r>
      </w:hyperlink>
      <w:r w:rsidR="002D36F5">
        <w:rPr>
          <w:rStyle w:val="Hyperlink"/>
          <w:szCs w:val="24"/>
        </w:rPr>
        <w:t>)</w:t>
      </w:r>
    </w:p>
    <w:p w14:paraId="44089E4D" w14:textId="3986DB6A" w:rsidR="00C24319" w:rsidRPr="008560ED" w:rsidRDefault="002B7B23" w:rsidP="00262BE1">
      <w:pPr>
        <w:tabs>
          <w:tab w:val="left" w:pos="-1440"/>
        </w:tabs>
        <w:ind w:left="1350" w:hanging="450"/>
        <w:rPr>
          <w:color w:val="auto"/>
          <w:szCs w:val="24"/>
        </w:rPr>
      </w:pPr>
      <w:r>
        <w:rPr>
          <w:color w:val="auto"/>
          <w:szCs w:val="24"/>
        </w:rPr>
        <w:t>b</w:t>
      </w:r>
      <w:r w:rsidR="00C24319" w:rsidRPr="008560ED">
        <w:rPr>
          <w:color w:val="auto"/>
          <w:szCs w:val="24"/>
        </w:rPr>
        <w:t>.</w:t>
      </w:r>
      <w:r w:rsidR="00C24319" w:rsidRPr="008560ED">
        <w:rPr>
          <w:color w:val="auto"/>
          <w:szCs w:val="24"/>
        </w:rPr>
        <w:tab/>
      </w:r>
      <w:r>
        <w:rPr>
          <w:color w:val="auto"/>
          <w:szCs w:val="24"/>
        </w:rPr>
        <w:t>Know t</w:t>
      </w:r>
      <w:r w:rsidR="00C24319" w:rsidRPr="008560ED">
        <w:rPr>
          <w:color w:val="auto"/>
          <w:szCs w:val="24"/>
        </w:rPr>
        <w:t xml:space="preserve">hat if the insured signs a fraudulent claim form, the insured may be guilty of </w:t>
      </w:r>
      <w:r w:rsidR="00EB1A13" w:rsidRPr="008560ED">
        <w:rPr>
          <w:color w:val="auto"/>
          <w:szCs w:val="24"/>
        </w:rPr>
        <w:t xml:space="preserve">perjury </w:t>
      </w:r>
      <w:r w:rsidR="002D36F5" w:rsidRPr="002D36F5">
        <w:rPr>
          <w:rStyle w:val="Hyperlink"/>
        </w:rPr>
        <w:t>(</w:t>
      </w:r>
      <w:hyperlink r:id="rId35" w:history="1">
        <w:r w:rsidR="00EB1A13" w:rsidRPr="0085270F">
          <w:rPr>
            <w:rStyle w:val="Hyperlink"/>
            <w:szCs w:val="24"/>
          </w:rPr>
          <w:t>Cal.</w:t>
        </w:r>
        <w:r w:rsidR="00C24319" w:rsidRPr="0085270F">
          <w:rPr>
            <w:rStyle w:val="Hyperlink"/>
            <w:szCs w:val="24"/>
          </w:rPr>
          <w:t xml:space="preserve"> Ins. Code sections 1871.2 through 1871.3</w:t>
        </w:r>
      </w:hyperlink>
      <w:r w:rsidR="002D36F5">
        <w:rPr>
          <w:rStyle w:val="Hyperlink"/>
          <w:szCs w:val="24"/>
        </w:rPr>
        <w:t>)</w:t>
      </w:r>
    </w:p>
    <w:p w14:paraId="19ADBB21" w14:textId="059C414F" w:rsidR="00C24319" w:rsidRPr="008560ED" w:rsidRDefault="002B7B23" w:rsidP="003E22DE">
      <w:pPr>
        <w:pStyle w:val="Quick1"/>
        <w:numPr>
          <w:ilvl w:val="0"/>
          <w:numId w:val="0"/>
        </w:numPr>
        <w:tabs>
          <w:tab w:val="left" w:pos="-1440"/>
          <w:tab w:val="num" w:pos="720"/>
          <w:tab w:val="left" w:pos="2160"/>
        </w:tabs>
        <w:ind w:left="1350" w:hanging="450"/>
        <w:rPr>
          <w:rFonts w:cs="Arial"/>
          <w:szCs w:val="24"/>
        </w:rPr>
      </w:pPr>
      <w:r>
        <w:rPr>
          <w:rFonts w:cs="Arial"/>
          <w:szCs w:val="24"/>
        </w:rPr>
        <w:t>c</w:t>
      </w:r>
      <w:r w:rsidR="00C24319" w:rsidRPr="008560ED">
        <w:rPr>
          <w:rFonts w:cs="Arial"/>
          <w:szCs w:val="24"/>
        </w:rPr>
        <w:t>.</w:t>
      </w:r>
      <w:r w:rsidR="00C24319" w:rsidRPr="008560ED">
        <w:rPr>
          <w:rFonts w:cs="Arial"/>
          <w:szCs w:val="24"/>
        </w:rPr>
        <w:tab/>
        <w:t xml:space="preserve">Be able to identify the scope and correct application of the False and Fraudulent Claims </w:t>
      </w:r>
      <w:r w:rsidR="002D36F5" w:rsidRPr="002D36F5">
        <w:rPr>
          <w:rStyle w:val="Hyperlink"/>
        </w:rPr>
        <w:t>(</w:t>
      </w:r>
      <w:hyperlink r:id="rId36" w:history="1">
        <w:r w:rsidR="00C24319" w:rsidRPr="0085270F">
          <w:rPr>
            <w:rStyle w:val="Hyperlink"/>
            <w:rFonts w:cs="Arial"/>
            <w:szCs w:val="24"/>
          </w:rPr>
          <w:t>Cal. Ins. Code sections 1871 and 1871.4</w:t>
        </w:r>
      </w:hyperlink>
      <w:r w:rsidR="002D36F5">
        <w:rPr>
          <w:rStyle w:val="Hyperlink"/>
          <w:rFonts w:cs="Arial"/>
          <w:szCs w:val="24"/>
        </w:rPr>
        <w:t>)</w:t>
      </w:r>
    </w:p>
    <w:p w14:paraId="38F09B95" w14:textId="56823855" w:rsidR="00C24319" w:rsidRPr="008560ED" w:rsidRDefault="002B7B23" w:rsidP="003E22DE">
      <w:pPr>
        <w:pStyle w:val="Quick1"/>
        <w:numPr>
          <w:ilvl w:val="0"/>
          <w:numId w:val="0"/>
        </w:numPr>
        <w:tabs>
          <w:tab w:val="left" w:pos="-1440"/>
          <w:tab w:val="num" w:pos="720"/>
        </w:tabs>
        <w:ind w:left="1350" w:hanging="450"/>
        <w:rPr>
          <w:rFonts w:cs="Arial"/>
          <w:szCs w:val="24"/>
        </w:rPr>
      </w:pPr>
      <w:r>
        <w:rPr>
          <w:rFonts w:cs="Arial"/>
          <w:szCs w:val="24"/>
        </w:rPr>
        <w:t>d</w:t>
      </w:r>
      <w:r w:rsidR="00C24319" w:rsidRPr="008560ED">
        <w:rPr>
          <w:rFonts w:cs="Arial"/>
          <w:szCs w:val="24"/>
        </w:rPr>
        <w:t>.</w:t>
      </w:r>
      <w:r w:rsidR="00C24319" w:rsidRPr="008560ED">
        <w:rPr>
          <w:rFonts w:cs="Arial"/>
          <w:szCs w:val="24"/>
        </w:rPr>
        <w:tab/>
        <w:t xml:space="preserve">Be able to describe the steps a licensed agent should take when fraud is </w:t>
      </w:r>
      <w:r w:rsidR="00EB1A13" w:rsidRPr="008560ED">
        <w:rPr>
          <w:rFonts w:cs="Arial"/>
          <w:szCs w:val="24"/>
        </w:rPr>
        <w:t xml:space="preserve">suspected </w:t>
      </w:r>
      <w:r w:rsidR="002D36F5" w:rsidRPr="002D36F5">
        <w:rPr>
          <w:rStyle w:val="Hyperlink"/>
        </w:rPr>
        <w:t>(</w:t>
      </w:r>
      <w:hyperlink r:id="rId37" w:history="1">
        <w:r w:rsidR="00EB1A13" w:rsidRPr="0085270F">
          <w:rPr>
            <w:rStyle w:val="Hyperlink"/>
            <w:rFonts w:cs="Arial"/>
            <w:szCs w:val="24"/>
          </w:rPr>
          <w:t>Cal.</w:t>
        </w:r>
        <w:r w:rsidR="00C24319" w:rsidRPr="0085270F">
          <w:rPr>
            <w:rStyle w:val="Hyperlink"/>
            <w:rFonts w:cs="Arial"/>
            <w:szCs w:val="24"/>
          </w:rPr>
          <w:t xml:space="preserve"> Ins. Code section 1872.41</w:t>
        </w:r>
      </w:hyperlink>
      <w:r w:rsidR="002D36F5">
        <w:rPr>
          <w:rStyle w:val="Hyperlink"/>
          <w:rFonts w:cs="Arial"/>
          <w:szCs w:val="24"/>
        </w:rPr>
        <w:t>)</w:t>
      </w:r>
    </w:p>
    <w:p w14:paraId="22D70587" w14:textId="67866765" w:rsidR="009B3517" w:rsidRDefault="009B3517" w:rsidP="0068785D">
      <w:pPr>
        <w:ind w:left="0" w:firstLine="0"/>
      </w:pPr>
    </w:p>
    <w:sectPr w:rsidR="009B3517">
      <w:headerReference w:type="even" r:id="rId38"/>
      <w:headerReference w:type="default" r:id="rId39"/>
      <w:footerReference w:type="even" r:id="rId40"/>
      <w:footerReference w:type="default" r:id="rId41"/>
      <w:headerReference w:type="first" r:id="rId42"/>
      <w:footerReference w:type="first" r:id="rId43"/>
      <w:pgSz w:w="12240" w:h="15840"/>
      <w:pgMar w:top="2758" w:right="1808" w:bottom="1805" w:left="1080" w:header="362" w:footer="8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0FBF52" w14:textId="77777777" w:rsidR="00050C2D" w:rsidRDefault="00050C2D">
      <w:pPr>
        <w:spacing w:after="0" w:line="240" w:lineRule="auto"/>
      </w:pPr>
      <w:r>
        <w:separator/>
      </w:r>
    </w:p>
  </w:endnote>
  <w:endnote w:type="continuationSeparator" w:id="0">
    <w:p w14:paraId="639FA546" w14:textId="77777777" w:rsidR="00050C2D" w:rsidRDefault="00050C2D">
      <w:pPr>
        <w:spacing w:after="0" w:line="240" w:lineRule="auto"/>
      </w:pPr>
      <w:r>
        <w:continuationSeparator/>
      </w:r>
    </w:p>
  </w:endnote>
  <w:endnote w:type="continuationNotice" w:id="1">
    <w:p w14:paraId="1E5C9A6C" w14:textId="77777777" w:rsidR="00050C2D" w:rsidRDefault="00050C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BB5DC" w14:textId="66FB2BA3" w:rsidR="00405316" w:rsidRDefault="008A2966">
    <w:pPr>
      <w:spacing w:after="0" w:line="259" w:lineRule="auto"/>
      <w:ind w:left="720" w:firstLine="0"/>
    </w:pPr>
    <w:r>
      <w:rPr>
        <w:sz w:val="20"/>
      </w:rPr>
      <w:t xml:space="preserve">Page </w:t>
    </w:r>
    <w:r>
      <w:fldChar w:fldCharType="begin"/>
    </w:r>
    <w:r>
      <w:instrText xml:space="preserve"> PAGE   \* MERGEFORMAT </w:instrText>
    </w:r>
    <w:r>
      <w:fldChar w:fldCharType="separate"/>
    </w:r>
    <w:r>
      <w:t>1</w:t>
    </w:r>
    <w:r>
      <w:fldChar w:fldCharType="end"/>
    </w:r>
  </w:p>
  <w:p w14:paraId="0C3C6189" w14:textId="4CC5EB26" w:rsidR="00405316" w:rsidRDefault="008A2966">
    <w:pPr>
      <w:spacing w:after="0" w:line="259" w:lineRule="auto"/>
      <w:ind w:left="0" w:right="170" w:firstLine="0"/>
      <w:jc w:val="right"/>
      <w:rPr>
        <w:sz w:val="20"/>
      </w:rPr>
    </w:pPr>
    <w:r>
      <w:rPr>
        <w:sz w:val="20"/>
      </w:rPr>
      <w:t>Revised: 03/14/2014</w:t>
    </w:r>
  </w:p>
  <w:p w14:paraId="60AF7DF1" w14:textId="77777777" w:rsidR="009B3517" w:rsidRDefault="009B3517">
    <w:pPr>
      <w:spacing w:after="0" w:line="259" w:lineRule="auto"/>
      <w:ind w:left="0" w:right="170" w:firstLine="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02BB91" w14:textId="2B3857FD" w:rsidR="00771235" w:rsidRPr="00771235" w:rsidRDefault="009B1106" w:rsidP="00983719">
    <w:pPr>
      <w:tabs>
        <w:tab w:val="left" w:pos="7560"/>
      </w:tabs>
      <w:spacing w:line="174" w:lineRule="exact"/>
      <w:ind w:right="360"/>
      <w:jc w:val="right"/>
      <w:rPr>
        <w:rStyle w:val="PageNumber"/>
        <w:sz w:val="18"/>
        <w:szCs w:val="18"/>
      </w:rPr>
    </w:pPr>
    <w:r>
      <w:rPr>
        <w:rStyle w:val="PageNumber"/>
        <w:sz w:val="18"/>
        <w:szCs w:val="18"/>
      </w:rPr>
      <w:t>Created</w:t>
    </w:r>
    <w:r w:rsidR="008560ED" w:rsidRPr="00771235">
      <w:rPr>
        <w:rStyle w:val="PageNumber"/>
        <w:sz w:val="18"/>
        <w:szCs w:val="18"/>
      </w:rPr>
      <w:t xml:space="preserve"> </w:t>
    </w:r>
    <w:r w:rsidR="00116CFA">
      <w:rPr>
        <w:rStyle w:val="PageNumber"/>
        <w:sz w:val="18"/>
        <w:szCs w:val="18"/>
      </w:rPr>
      <w:t>2/19/2025</w:t>
    </w:r>
    <w:r w:rsidR="00771235" w:rsidRPr="00771235">
      <w:rPr>
        <w:rStyle w:val="PageNumber"/>
        <w:sz w:val="18"/>
        <w:szCs w:val="18"/>
      </w:rPr>
      <w:tab/>
    </w:r>
    <w:r w:rsidR="00771235" w:rsidRPr="00771235">
      <w:rPr>
        <w:rStyle w:val="PageNumber"/>
        <w:sz w:val="18"/>
        <w:szCs w:val="18"/>
      </w:rPr>
      <w:tab/>
      <w:t xml:space="preserve">        Page </w:t>
    </w:r>
    <w:r w:rsidR="00771235" w:rsidRPr="00771235">
      <w:rPr>
        <w:rStyle w:val="PageNumber"/>
        <w:sz w:val="18"/>
        <w:szCs w:val="18"/>
      </w:rPr>
      <w:fldChar w:fldCharType="begin"/>
    </w:r>
    <w:r w:rsidR="00771235" w:rsidRPr="00771235">
      <w:rPr>
        <w:rStyle w:val="PageNumber"/>
        <w:sz w:val="18"/>
        <w:szCs w:val="18"/>
      </w:rPr>
      <w:instrText xml:space="preserve"> PAGE </w:instrText>
    </w:r>
    <w:r w:rsidR="00771235" w:rsidRPr="00771235">
      <w:rPr>
        <w:rStyle w:val="PageNumber"/>
        <w:sz w:val="18"/>
        <w:szCs w:val="18"/>
      </w:rPr>
      <w:fldChar w:fldCharType="separate"/>
    </w:r>
    <w:r w:rsidR="00771235" w:rsidRPr="00771235">
      <w:rPr>
        <w:rStyle w:val="PageNumber"/>
        <w:sz w:val="18"/>
        <w:szCs w:val="18"/>
      </w:rPr>
      <w:t>1</w:t>
    </w:r>
    <w:r w:rsidR="00771235" w:rsidRPr="00771235">
      <w:rPr>
        <w:rStyle w:val="PageNumber"/>
        <w:sz w:val="18"/>
        <w:szCs w:val="18"/>
      </w:rPr>
      <w:fldChar w:fldCharType="end"/>
    </w:r>
  </w:p>
  <w:p w14:paraId="60E260BF" w14:textId="77777777" w:rsidR="009B3517" w:rsidRPr="00771235" w:rsidRDefault="009B3517" w:rsidP="0063375B">
    <w:pPr>
      <w:tabs>
        <w:tab w:val="left" w:pos="7236"/>
      </w:tabs>
      <w:spacing w:after="0" w:line="259" w:lineRule="auto"/>
      <w:ind w:left="0" w:right="170" w:firstLine="0"/>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231E0" w14:textId="2B1AB3BB" w:rsidR="00405316" w:rsidRDefault="008A2966">
    <w:pPr>
      <w:spacing w:after="0" w:line="259" w:lineRule="auto"/>
      <w:ind w:left="720" w:firstLine="0"/>
    </w:pPr>
    <w:r>
      <w:rPr>
        <w:sz w:val="20"/>
      </w:rPr>
      <w:t xml:space="preserve">Page </w:t>
    </w:r>
    <w:r>
      <w:fldChar w:fldCharType="begin"/>
    </w:r>
    <w:r>
      <w:instrText xml:space="preserve"> PAGE   \* MERGEFORMAT </w:instrText>
    </w:r>
    <w:r>
      <w:fldChar w:fldCharType="separate"/>
    </w:r>
    <w:r>
      <w:t>1</w:t>
    </w:r>
    <w:r>
      <w:fldChar w:fldCharType="end"/>
    </w:r>
  </w:p>
  <w:p w14:paraId="465011DA" w14:textId="3A6DE533" w:rsidR="00405316" w:rsidRDefault="008A2966">
    <w:pPr>
      <w:spacing w:after="0" w:line="259" w:lineRule="auto"/>
      <w:ind w:left="0" w:right="170" w:firstLine="0"/>
      <w:jc w:val="right"/>
      <w:rPr>
        <w:sz w:val="20"/>
      </w:rPr>
    </w:pPr>
    <w:r>
      <w:rPr>
        <w:sz w:val="20"/>
      </w:rPr>
      <w:t>Revised: 03/14/2014</w:t>
    </w:r>
  </w:p>
  <w:p w14:paraId="1E020767" w14:textId="77777777" w:rsidR="009B3517" w:rsidRDefault="009B3517">
    <w:pPr>
      <w:spacing w:after="0" w:line="259" w:lineRule="auto"/>
      <w:ind w:left="0" w:right="170" w:firstLine="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054AE9" w14:textId="77777777" w:rsidR="00050C2D" w:rsidRDefault="00050C2D">
      <w:pPr>
        <w:spacing w:after="0" w:line="240" w:lineRule="auto"/>
      </w:pPr>
      <w:r>
        <w:separator/>
      </w:r>
    </w:p>
  </w:footnote>
  <w:footnote w:type="continuationSeparator" w:id="0">
    <w:p w14:paraId="1A2C3443" w14:textId="77777777" w:rsidR="00050C2D" w:rsidRDefault="00050C2D">
      <w:pPr>
        <w:spacing w:after="0" w:line="240" w:lineRule="auto"/>
      </w:pPr>
      <w:r>
        <w:continuationSeparator/>
      </w:r>
    </w:p>
  </w:footnote>
  <w:footnote w:type="continuationNotice" w:id="1">
    <w:p w14:paraId="4DBAFEEA" w14:textId="77777777" w:rsidR="00050C2D" w:rsidRDefault="00050C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B95B9" w14:textId="133E1096" w:rsidR="00405316" w:rsidRDefault="008A2966">
    <w:pPr>
      <w:spacing w:after="0" w:line="259" w:lineRule="auto"/>
      <w:ind w:left="261" w:firstLine="0"/>
      <w:jc w:val="center"/>
      <w:rPr>
        <w:sz w:val="32"/>
      </w:rP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FF88049" wp14:editId="1B5E3262">
              <wp:simplePos x="0" y="0"/>
              <wp:positionH relativeFrom="page">
                <wp:posOffset>685800</wp:posOffset>
              </wp:positionH>
              <wp:positionV relativeFrom="page">
                <wp:posOffset>1645920</wp:posOffset>
              </wp:positionV>
              <wp:extent cx="6324600" cy="25400"/>
              <wp:effectExtent l="0" t="0" r="0" b="0"/>
              <wp:wrapSquare wrapText="bothSides"/>
              <wp:docPr id="2625" name="Group 2625"/>
              <wp:cNvGraphicFramePr/>
              <a:graphic xmlns:a="http://schemas.openxmlformats.org/drawingml/2006/main">
                <a:graphicData uri="http://schemas.microsoft.com/office/word/2010/wordprocessingGroup">
                  <wpg:wgp>
                    <wpg:cNvGrpSpPr/>
                    <wpg:grpSpPr>
                      <a:xfrm>
                        <a:off x="0" y="0"/>
                        <a:ext cx="6324600" cy="25400"/>
                        <a:chOff x="0" y="0"/>
                        <a:chExt cx="6324600" cy="25400"/>
                      </a:xfrm>
                    </wpg:grpSpPr>
                    <wps:wsp>
                      <wps:cNvPr id="2626" name="Shape 2626"/>
                      <wps:cNvSpPr/>
                      <wps:spPr>
                        <a:xfrm>
                          <a:off x="0" y="0"/>
                          <a:ext cx="6324600" cy="0"/>
                        </a:xfrm>
                        <a:custGeom>
                          <a:avLst/>
                          <a:gdLst/>
                          <a:ahLst/>
                          <a:cxnLst/>
                          <a:rect l="0" t="0" r="0" b="0"/>
                          <a:pathLst>
                            <a:path w="6324600">
                              <a:moveTo>
                                <a:pt x="0" y="0"/>
                              </a:moveTo>
                              <a:lnTo>
                                <a:pt x="632460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18108331" id="Group 2625" o:spid="_x0000_s1026" style="position:absolute;margin-left:54pt;margin-top:129.6pt;width:498pt;height:2pt;z-index:251658240;mso-position-horizontal-relative:page;mso-position-vertical-relative:page" coordsize="632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">
              <v:shape id="Shape 2626" o:spid="_x0000_s1027" style="position:absolute;width:63246;height:0;visibility:visible;mso-wrap-style:square;v-text-anchor:top" coordsize="632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" path="m,l6324600,e" filled="f" strokeweight="2pt">
                <v:path arrowok="t" textboxrect="0,0,6324600,0"/>
              </v:shape>
              <w10:wrap type="square" anchorx="page" anchory="page"/>
            </v:group>
          </w:pict>
        </mc:Fallback>
      </mc:AlternateContent>
    </w:r>
    <w:r>
      <w:rPr>
        <w:sz w:val="32"/>
      </w:rPr>
      <w:t>California Department of Insurance</w:t>
    </w:r>
  </w:p>
  <w:p w14:paraId="1C0BD518" w14:textId="10F1F993" w:rsidR="00405316" w:rsidRDefault="008A2966">
    <w:pPr>
      <w:spacing w:after="184" w:line="242" w:lineRule="auto"/>
      <w:ind w:left="3487" w:right="496" w:hanging="1595"/>
      <w:rPr>
        <w:i/>
        <w:sz w:val="32"/>
      </w:rPr>
    </w:pPr>
    <w:r>
      <w:rPr>
        <w:i/>
        <w:sz w:val="32"/>
      </w:rPr>
      <w:t>Ethics Training Course Development and Review Guidelines</w:t>
    </w:r>
  </w:p>
  <w:p w14:paraId="0CFAA900" w14:textId="58DA952B" w:rsidR="00405316" w:rsidRDefault="008A2966">
    <w:pPr>
      <w:spacing w:after="0" w:line="259" w:lineRule="auto"/>
      <w:ind w:left="266" w:firstLine="0"/>
      <w:jc w:val="center"/>
      <w:rPr>
        <w:sz w:val="28"/>
      </w:rPr>
    </w:pPr>
    <w:r>
      <w:rPr>
        <w:sz w:val="28"/>
      </w:rPr>
      <w:t>Topics to be included in the</w:t>
    </w:r>
  </w:p>
  <w:p w14:paraId="07323015" w14:textId="54996B69" w:rsidR="00405316" w:rsidRDefault="008A2966">
    <w:pPr>
      <w:spacing w:after="0" w:line="259" w:lineRule="auto"/>
      <w:ind w:left="266" w:firstLine="0"/>
      <w:jc w:val="center"/>
      <w:rPr>
        <w:sz w:val="28"/>
      </w:rPr>
    </w:pPr>
    <w:r>
      <w:rPr>
        <w:sz w:val="28"/>
      </w:rPr>
      <w:t>Continuing Education Courses</w:t>
    </w:r>
  </w:p>
  <w:p w14:paraId="385D3367" w14:textId="77777777" w:rsidR="009B3517" w:rsidRDefault="009B3517">
    <w:pPr>
      <w:spacing w:after="0" w:line="259" w:lineRule="auto"/>
      <w:ind w:left="266" w:firstLine="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74AC3E" w14:textId="70F2289A" w:rsidR="009B3517" w:rsidRPr="00CE18A7" w:rsidRDefault="008A2966" w:rsidP="00CE18A7">
    <w:pPr>
      <w:pStyle w:val="Heading1"/>
      <w:rPr>
        <w:sz w:val="32"/>
      </w:rPr>
    </w:pPr>
    <w:r w:rsidRPr="00CE18A7">
      <w:rPr>
        <w:rFonts w:ascii="Arial" w:hAnsi="Arial" w:cs="Arial"/>
        <w:sz w:val="32"/>
      </w:rPr>
      <mc:AlternateContent>
        <mc:Choice Requires="wpg">
          <w:drawing>
            <wp:anchor distT="0" distB="0" distL="114300" distR="114300" simplePos="0" relativeHeight="251659264" behindDoc="0" locked="0" layoutInCell="1" allowOverlap="1" wp14:anchorId="07BFA67B" wp14:editId="5E627E18">
              <wp:simplePos x="0" y="0"/>
              <wp:positionH relativeFrom="page">
                <wp:posOffset>685800</wp:posOffset>
              </wp:positionH>
              <wp:positionV relativeFrom="page">
                <wp:posOffset>1645920</wp:posOffset>
              </wp:positionV>
              <wp:extent cx="6324600" cy="25400"/>
              <wp:effectExtent l="0" t="0" r="0" b="0"/>
              <wp:wrapSquare wrapText="bothSides"/>
              <wp:docPr id="2593" name="Group 2593"/>
              <wp:cNvGraphicFramePr/>
              <a:graphic xmlns:a="http://schemas.openxmlformats.org/drawingml/2006/main">
                <a:graphicData uri="http://schemas.microsoft.com/office/word/2010/wordprocessingGroup">
                  <wpg:wgp>
                    <wpg:cNvGrpSpPr/>
                    <wpg:grpSpPr>
                      <a:xfrm>
                        <a:off x="0" y="0"/>
                        <a:ext cx="6324600" cy="25400"/>
                        <a:chOff x="0" y="0"/>
                        <a:chExt cx="6324600" cy="25400"/>
                      </a:xfrm>
                    </wpg:grpSpPr>
                    <wps:wsp>
                      <wps:cNvPr id="2594" name="Shape 2594"/>
                      <wps:cNvSpPr/>
                      <wps:spPr>
                        <a:xfrm>
                          <a:off x="0" y="0"/>
                          <a:ext cx="6324600" cy="0"/>
                        </a:xfrm>
                        <a:custGeom>
                          <a:avLst/>
                          <a:gdLst/>
                          <a:ahLst/>
                          <a:cxnLst/>
                          <a:rect l="0" t="0" r="0" b="0"/>
                          <a:pathLst>
                            <a:path w="6324600">
                              <a:moveTo>
                                <a:pt x="0" y="0"/>
                              </a:moveTo>
                              <a:lnTo>
                                <a:pt x="632460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4A5F2E78" id="Group 2593" o:spid="_x0000_s1026" style="position:absolute;margin-left:54pt;margin-top:129.6pt;width:498pt;height:2pt;z-index:251659264;mso-position-horizontal-relative:page;mso-position-vertical-relative:page" coordsize="632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">
              <v:shape id="Shape 2594" o:spid="_x0000_s1027" style="position:absolute;width:63246;height:0;visibility:visible;mso-wrap-style:square;v-text-anchor:top" coordsize="632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" path="m,l6324600,e" filled="f" strokeweight="2pt">
                <v:path arrowok="t" textboxrect="0,0,6324600,0"/>
              </v:shape>
              <w10:wrap type="square" anchorx="page" anchory="page"/>
            </v:group>
          </w:pict>
        </mc:Fallback>
      </mc:AlternateContent>
    </w:r>
    <w:r w:rsidRPr="00CE18A7">
      <w:rPr>
        <w:rFonts w:ascii="Arial" w:hAnsi="Arial" w:cs="Arial"/>
        <w:sz w:val="32"/>
      </w:rPr>
      <w:t>California Department of Insurance</w:t>
    </w:r>
  </w:p>
  <w:p w14:paraId="6E00B245" w14:textId="6E2A2ADB" w:rsidR="009B3517" w:rsidRPr="00CE18A7" w:rsidRDefault="002E1E71" w:rsidP="00CE18A7">
    <w:pPr>
      <w:pStyle w:val="Heading1"/>
      <w:rPr>
        <w:i/>
        <w:sz w:val="32"/>
      </w:rPr>
    </w:pPr>
    <w:r w:rsidRPr="00CE18A7">
      <w:rPr>
        <w:rFonts w:ascii="Arial" w:hAnsi="Arial" w:cs="Arial"/>
        <w:i/>
        <w:sz w:val="32"/>
      </w:rPr>
      <w:t>One</w:t>
    </w:r>
    <w:r w:rsidR="002D0A62" w:rsidRPr="00CE18A7">
      <w:rPr>
        <w:rFonts w:ascii="Arial" w:hAnsi="Arial" w:cs="Arial"/>
        <w:i/>
        <w:sz w:val="32"/>
      </w:rPr>
      <w:t xml:space="preserve"> </w:t>
    </w:r>
    <w:r w:rsidR="00983719" w:rsidRPr="00CE18A7">
      <w:rPr>
        <w:rFonts w:ascii="Arial" w:hAnsi="Arial" w:cs="Arial"/>
        <w:i/>
        <w:sz w:val="32"/>
      </w:rPr>
      <w:t xml:space="preserve">Hour </w:t>
    </w:r>
    <w:r w:rsidR="002D0A62" w:rsidRPr="00CE18A7">
      <w:rPr>
        <w:rFonts w:ascii="Arial" w:hAnsi="Arial" w:cs="Arial"/>
        <w:i/>
        <w:sz w:val="32"/>
      </w:rPr>
      <w:t>of Study on Insurance Fraud,</w:t>
    </w:r>
    <w:r w:rsidRPr="00CE18A7">
      <w:rPr>
        <w:rFonts w:ascii="Arial" w:hAnsi="Arial" w:cs="Arial"/>
        <w:i/>
        <w:sz w:val="32"/>
      </w:rPr>
      <w:t xml:space="preserve"> </w:t>
    </w:r>
    <w:r w:rsidR="008A2966" w:rsidRPr="00CE18A7">
      <w:rPr>
        <w:rFonts w:ascii="Arial" w:hAnsi="Arial" w:cs="Arial"/>
        <w:i/>
        <w:sz w:val="32"/>
      </w:rPr>
      <w:t xml:space="preserve">Ethics Training </w:t>
    </w:r>
    <w:r w:rsidRPr="00CE18A7">
      <w:rPr>
        <w:rFonts w:ascii="Arial" w:hAnsi="Arial" w:cs="Arial"/>
        <w:i/>
        <w:sz w:val="32"/>
      </w:rPr>
      <w:t>Out</w:t>
    </w:r>
    <w:r w:rsidR="008A2966" w:rsidRPr="00CE18A7">
      <w:rPr>
        <w:rFonts w:ascii="Arial" w:hAnsi="Arial" w:cs="Arial"/>
        <w:i/>
        <w:sz w:val="32"/>
      </w:rPr>
      <w:t>line</w:t>
    </w:r>
  </w:p>
  <w:p w14:paraId="2B6B4942" w14:textId="3D19FD9B" w:rsidR="00405316" w:rsidRDefault="008A2966" w:rsidP="00405316">
    <w:pPr>
      <w:pStyle w:val="Heading1"/>
      <w:rPr>
        <w:rFonts w:ascii="Arial" w:hAnsi="Arial" w:cs="Arial"/>
        <w:sz w:val="32"/>
      </w:rPr>
    </w:pPr>
    <w:r w:rsidRPr="00CE18A7">
      <w:rPr>
        <w:sz w:val="32"/>
      </w:rPr>
      <w:t>Topics to be included in the</w:t>
    </w:r>
  </w:p>
  <w:p w14:paraId="4DE62239" w14:textId="2923082A" w:rsidR="00405316" w:rsidRDefault="002D0A62" w:rsidP="00405316">
    <w:pPr>
      <w:pStyle w:val="Heading1"/>
      <w:rPr>
        <w:rFonts w:ascii="Arial" w:hAnsi="Arial" w:cs="Arial"/>
        <w:sz w:val="32"/>
      </w:rPr>
    </w:pPr>
    <w:r w:rsidRPr="00CE18A7">
      <w:rPr>
        <w:rFonts w:ascii="Arial" w:hAnsi="Arial" w:cs="Arial"/>
        <w:sz w:val="32"/>
      </w:rPr>
      <w:t>One Hour of Study on Insurance Fraud</w:t>
    </w:r>
    <w:r w:rsidR="002E1E71" w:rsidRPr="00CE18A7">
      <w:rPr>
        <w:rFonts w:ascii="Arial" w:hAnsi="Arial" w:cs="Arial"/>
        <w:sz w:val="32"/>
      </w:rPr>
      <w:t xml:space="preserve"> </w:t>
    </w:r>
    <w:r w:rsidR="008A2966" w:rsidRPr="00CE18A7">
      <w:rPr>
        <w:rFonts w:ascii="Arial" w:hAnsi="Arial" w:cs="Arial"/>
        <w:sz w:val="32"/>
      </w:rPr>
      <w:t>Continuing Education Courses</w:t>
    </w:r>
  </w:p>
  <w:p w14:paraId="14D6FAD7" w14:textId="62BB042D" w:rsidR="009B3517" w:rsidRPr="00CE18A7" w:rsidRDefault="009B3517" w:rsidP="00CE18A7">
    <w:pPr>
      <w:pStyle w:val="Heading1"/>
      <w:rPr>
        <w:sz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6897C" w14:textId="6D34A46E" w:rsidR="00405316" w:rsidRDefault="008A2966">
    <w:pPr>
      <w:spacing w:after="0" w:line="259" w:lineRule="auto"/>
      <w:ind w:left="261" w:firstLine="0"/>
      <w:jc w:val="center"/>
      <w:rPr>
        <w:sz w:val="32"/>
      </w:rPr>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038C4E84" wp14:editId="38ACD1BB">
              <wp:simplePos x="0" y="0"/>
              <wp:positionH relativeFrom="page">
                <wp:posOffset>685800</wp:posOffset>
              </wp:positionH>
              <wp:positionV relativeFrom="page">
                <wp:posOffset>1645920</wp:posOffset>
              </wp:positionV>
              <wp:extent cx="6324600" cy="25400"/>
              <wp:effectExtent l="0" t="0" r="0" b="0"/>
              <wp:wrapSquare wrapText="bothSides"/>
              <wp:docPr id="2561" name="Group 2561"/>
              <wp:cNvGraphicFramePr/>
              <a:graphic xmlns:a="http://schemas.openxmlformats.org/drawingml/2006/main">
                <a:graphicData uri="http://schemas.microsoft.com/office/word/2010/wordprocessingGroup">
                  <wpg:wgp>
                    <wpg:cNvGrpSpPr/>
                    <wpg:grpSpPr>
                      <a:xfrm>
                        <a:off x="0" y="0"/>
                        <a:ext cx="6324600" cy="25400"/>
                        <a:chOff x="0" y="0"/>
                        <a:chExt cx="6324600" cy="25400"/>
                      </a:xfrm>
                    </wpg:grpSpPr>
                    <wps:wsp>
                      <wps:cNvPr id="2562" name="Shape 2562"/>
                      <wps:cNvSpPr/>
                      <wps:spPr>
                        <a:xfrm>
                          <a:off x="0" y="0"/>
                          <a:ext cx="6324600" cy="0"/>
                        </a:xfrm>
                        <a:custGeom>
                          <a:avLst/>
                          <a:gdLst/>
                          <a:ahLst/>
                          <a:cxnLst/>
                          <a:rect l="0" t="0" r="0" b="0"/>
                          <a:pathLst>
                            <a:path w="6324600">
                              <a:moveTo>
                                <a:pt x="0" y="0"/>
                              </a:moveTo>
                              <a:lnTo>
                                <a:pt x="6324600" y="0"/>
                              </a:lnTo>
                            </a:path>
                          </a:pathLst>
                        </a:custGeom>
                        <a:ln w="25400" cap="flat">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xmlns:w16sdtdh="http://schemas.microsoft.com/office/word/2020/wordml/sdtdatahash">
          <w:pict>
            <v:group w14:anchorId="42730670" id="Group 2561" o:spid="_x0000_s1026" style="position:absolute;margin-left:54pt;margin-top:129.6pt;width:498pt;height:2pt;z-index:251660288;mso-position-horizontal-relative:page;mso-position-vertical-relative:page" coordsize="63246,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">
              <v:shape id="Shape 2562" o:spid="_x0000_s1027" style="position:absolute;width:63246;height:0;visibility:visible;mso-wrap-style:square;v-text-anchor:top" coordsize="6324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" path="m,l6324600,e" filled="f" strokeweight="2pt">
                <v:path arrowok="t" textboxrect="0,0,6324600,0"/>
              </v:shape>
              <w10:wrap type="square" anchorx="page" anchory="page"/>
            </v:group>
          </w:pict>
        </mc:Fallback>
      </mc:AlternateContent>
    </w:r>
    <w:r>
      <w:rPr>
        <w:sz w:val="32"/>
      </w:rPr>
      <w:t>California Department of Insurance</w:t>
    </w:r>
  </w:p>
  <w:p w14:paraId="7584FCD0" w14:textId="48EDF738" w:rsidR="00405316" w:rsidRDefault="008A2966">
    <w:pPr>
      <w:spacing w:after="184" w:line="242" w:lineRule="auto"/>
      <w:ind w:left="3487" w:right="496" w:hanging="1595"/>
      <w:rPr>
        <w:i/>
        <w:sz w:val="32"/>
      </w:rPr>
    </w:pPr>
    <w:r>
      <w:rPr>
        <w:i/>
        <w:sz w:val="32"/>
      </w:rPr>
      <w:t>Ethics Training Course Development and Review Guidelines</w:t>
    </w:r>
  </w:p>
  <w:p w14:paraId="09E39C32" w14:textId="54DAEA1D" w:rsidR="00405316" w:rsidRDefault="008A2966">
    <w:pPr>
      <w:spacing w:after="0" w:line="259" w:lineRule="auto"/>
      <w:ind w:left="266" w:firstLine="0"/>
      <w:jc w:val="center"/>
      <w:rPr>
        <w:sz w:val="28"/>
      </w:rPr>
    </w:pPr>
    <w:r>
      <w:rPr>
        <w:sz w:val="28"/>
      </w:rPr>
      <w:t>Topics to be included in the</w:t>
    </w:r>
  </w:p>
  <w:p w14:paraId="7BEBDB8A" w14:textId="6D544D66" w:rsidR="00405316" w:rsidRDefault="008A2966">
    <w:pPr>
      <w:spacing w:after="0" w:line="259" w:lineRule="auto"/>
      <w:ind w:left="266" w:firstLine="0"/>
      <w:jc w:val="center"/>
      <w:rPr>
        <w:sz w:val="28"/>
      </w:rPr>
    </w:pPr>
    <w:r>
      <w:rPr>
        <w:sz w:val="28"/>
      </w:rPr>
      <w:t>Continuing Education Courses</w:t>
    </w:r>
  </w:p>
  <w:p w14:paraId="0EA23084" w14:textId="77777777" w:rsidR="009B3517" w:rsidRDefault="009B3517">
    <w:pPr>
      <w:spacing w:after="0" w:line="259" w:lineRule="auto"/>
      <w:ind w:left="266" w:firstLine="0"/>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pStyle w:val="Quick1"/>
      <w:lvlText w:val=" %1."/>
      <w:lvlJc w:val="left"/>
      <w:pPr>
        <w:tabs>
          <w:tab w:val="num" w:pos="720"/>
        </w:tabs>
      </w:pPr>
      <w:rPr>
        <w:rFonts w:ascii="Arial" w:hAnsi="Arial"/>
        <w:sz w:val="24"/>
      </w:rPr>
    </w:lvl>
  </w:abstractNum>
  <w:abstractNum w:abstractNumId="1" w15:restartNumberingAfterBreak="0">
    <w:nsid w:val="00F90E6E"/>
    <w:multiLevelType w:val="hybridMultilevel"/>
    <w:tmpl w:val="63761F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04A30"/>
    <w:multiLevelType w:val="hybridMultilevel"/>
    <w:tmpl w:val="AA40F726"/>
    <w:lvl w:ilvl="0" w:tplc="25F23524">
      <w:start w:val="1"/>
      <w:numFmt w:val="bullet"/>
      <w:lvlText w:val="•"/>
      <w:lvlJc w:val="left"/>
      <w:pPr>
        <w:ind w:left="1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90BB6E">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BACB7B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82E700">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F84394">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446E36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52C7E4">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2DA94">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6A0780">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EA915CF"/>
    <w:multiLevelType w:val="hybridMultilevel"/>
    <w:tmpl w:val="7F8207C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F22FA1"/>
    <w:multiLevelType w:val="hybridMultilevel"/>
    <w:tmpl w:val="BE487DA8"/>
    <w:lvl w:ilvl="0" w:tplc="27F2CE22">
      <w:start w:val="1"/>
      <w:numFmt w:val="decimal"/>
      <w:lvlText w:val="%1)"/>
      <w:lvlJc w:val="left"/>
      <w:pPr>
        <w:ind w:left="10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77C03EE">
      <w:start w:val="1"/>
      <w:numFmt w:val="lowerLetter"/>
      <w:lvlText w:val="%2"/>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7C1460">
      <w:start w:val="1"/>
      <w:numFmt w:val="lowerRoman"/>
      <w:lvlText w:val="%3"/>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2066703C">
      <w:start w:val="1"/>
      <w:numFmt w:val="decimal"/>
      <w:lvlText w:val="%4"/>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2C6788E">
      <w:start w:val="1"/>
      <w:numFmt w:val="lowerLetter"/>
      <w:lvlText w:val="%5"/>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9625BC">
      <w:start w:val="1"/>
      <w:numFmt w:val="lowerRoman"/>
      <w:lvlText w:val="%6"/>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EDE2CF4">
      <w:start w:val="1"/>
      <w:numFmt w:val="decimal"/>
      <w:lvlText w:val="%7"/>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5361184">
      <w:start w:val="1"/>
      <w:numFmt w:val="lowerLetter"/>
      <w:lvlText w:val="%8"/>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988FF0">
      <w:start w:val="1"/>
      <w:numFmt w:val="lowerRoman"/>
      <w:lvlText w:val="%9"/>
      <w:lvlJc w:val="left"/>
      <w:pPr>
        <w:ind w:left="68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F326978"/>
    <w:multiLevelType w:val="hybridMultilevel"/>
    <w:tmpl w:val="E08C12D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A4004"/>
    <w:multiLevelType w:val="hybridMultilevel"/>
    <w:tmpl w:val="DFDA3450"/>
    <w:lvl w:ilvl="0" w:tplc="A6EAEF32">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abstractNumId w:val="2"/>
  </w:num>
  <w:num w:numId="2">
    <w:abstractNumId w:val="4"/>
  </w:num>
  <w:num w:numId="3">
    <w:abstractNumId w:val="3"/>
  </w:num>
  <w:num w:numId="4">
    <w:abstractNumId w:val="0"/>
    <w:lvlOverride w:ilvl="0">
      <w:startOverride w:val="1"/>
      <w:lvl w:ilvl="0">
        <w:start w:val="1"/>
        <w:numFmt w:val="decimal"/>
        <w:pStyle w:val="Quick1"/>
        <w:lvlText w:val=" %1."/>
        <w:lvlJc w:val="left"/>
      </w:lvl>
    </w:lvlOverride>
  </w:num>
  <w:num w:numId="5">
    <w:abstractNumId w:val="6"/>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TrailerSet" w:val="Set"/>
  </w:docVars>
  <w:rsids>
    <w:rsidRoot w:val="009B3517"/>
    <w:rsid w:val="00013E4A"/>
    <w:rsid w:val="0001527C"/>
    <w:rsid w:val="0002480D"/>
    <w:rsid w:val="0002584B"/>
    <w:rsid w:val="00045547"/>
    <w:rsid w:val="00050C2D"/>
    <w:rsid w:val="000669D3"/>
    <w:rsid w:val="00071254"/>
    <w:rsid w:val="00080921"/>
    <w:rsid w:val="0008127C"/>
    <w:rsid w:val="0008260F"/>
    <w:rsid w:val="000B2014"/>
    <w:rsid w:val="000E4A49"/>
    <w:rsid w:val="000F5C3A"/>
    <w:rsid w:val="0011128B"/>
    <w:rsid w:val="00116CFA"/>
    <w:rsid w:val="0013235D"/>
    <w:rsid w:val="00163212"/>
    <w:rsid w:val="00167B51"/>
    <w:rsid w:val="00185EAF"/>
    <w:rsid w:val="001A49CC"/>
    <w:rsid w:val="001C2320"/>
    <w:rsid w:val="001C461F"/>
    <w:rsid w:val="001D375A"/>
    <w:rsid w:val="00262BE1"/>
    <w:rsid w:val="002A6ED0"/>
    <w:rsid w:val="002B28C9"/>
    <w:rsid w:val="002B7B23"/>
    <w:rsid w:val="002D0A62"/>
    <w:rsid w:val="002D194F"/>
    <w:rsid w:val="002D36F5"/>
    <w:rsid w:val="002E1E71"/>
    <w:rsid w:val="002E561B"/>
    <w:rsid w:val="00343FDB"/>
    <w:rsid w:val="00346CE6"/>
    <w:rsid w:val="003A71F2"/>
    <w:rsid w:val="003E22DE"/>
    <w:rsid w:val="003F48B9"/>
    <w:rsid w:val="00405316"/>
    <w:rsid w:val="00411D02"/>
    <w:rsid w:val="00415626"/>
    <w:rsid w:val="00416AE8"/>
    <w:rsid w:val="004218C0"/>
    <w:rsid w:val="00434D11"/>
    <w:rsid w:val="004A65EA"/>
    <w:rsid w:val="004E1A81"/>
    <w:rsid w:val="00502382"/>
    <w:rsid w:val="00514A80"/>
    <w:rsid w:val="00531BF8"/>
    <w:rsid w:val="00546278"/>
    <w:rsid w:val="00557AE6"/>
    <w:rsid w:val="00566295"/>
    <w:rsid w:val="00583B68"/>
    <w:rsid w:val="0059506E"/>
    <w:rsid w:val="005A6614"/>
    <w:rsid w:val="005D5A19"/>
    <w:rsid w:val="0060661B"/>
    <w:rsid w:val="00623A89"/>
    <w:rsid w:val="0063375B"/>
    <w:rsid w:val="00645FA0"/>
    <w:rsid w:val="006521EE"/>
    <w:rsid w:val="00652608"/>
    <w:rsid w:val="0065380A"/>
    <w:rsid w:val="00663E5F"/>
    <w:rsid w:val="00673352"/>
    <w:rsid w:val="00686F25"/>
    <w:rsid w:val="0068785D"/>
    <w:rsid w:val="006B51DE"/>
    <w:rsid w:val="006C2017"/>
    <w:rsid w:val="006D293C"/>
    <w:rsid w:val="00733CA0"/>
    <w:rsid w:val="00751DB2"/>
    <w:rsid w:val="0075313B"/>
    <w:rsid w:val="00761B89"/>
    <w:rsid w:val="00771235"/>
    <w:rsid w:val="00774BDE"/>
    <w:rsid w:val="00776CD6"/>
    <w:rsid w:val="0078655D"/>
    <w:rsid w:val="007B41DA"/>
    <w:rsid w:val="007B64D1"/>
    <w:rsid w:val="008064B8"/>
    <w:rsid w:val="008272A6"/>
    <w:rsid w:val="0085145E"/>
    <w:rsid w:val="0085270F"/>
    <w:rsid w:val="008560ED"/>
    <w:rsid w:val="00856360"/>
    <w:rsid w:val="00886A46"/>
    <w:rsid w:val="008969C8"/>
    <w:rsid w:val="008A2966"/>
    <w:rsid w:val="00900DE3"/>
    <w:rsid w:val="00940988"/>
    <w:rsid w:val="00942A58"/>
    <w:rsid w:val="00965254"/>
    <w:rsid w:val="00973FDA"/>
    <w:rsid w:val="00974286"/>
    <w:rsid w:val="00983719"/>
    <w:rsid w:val="009B1106"/>
    <w:rsid w:val="009B3517"/>
    <w:rsid w:val="009E0BBF"/>
    <w:rsid w:val="009F3CE4"/>
    <w:rsid w:val="009F48D1"/>
    <w:rsid w:val="00A0584F"/>
    <w:rsid w:val="00A158E9"/>
    <w:rsid w:val="00A43660"/>
    <w:rsid w:val="00A46FA8"/>
    <w:rsid w:val="00A65A8E"/>
    <w:rsid w:val="00A722B6"/>
    <w:rsid w:val="00A80BED"/>
    <w:rsid w:val="00A921BA"/>
    <w:rsid w:val="00AB250E"/>
    <w:rsid w:val="00AB43EF"/>
    <w:rsid w:val="00AD0AE9"/>
    <w:rsid w:val="00AF429F"/>
    <w:rsid w:val="00B01410"/>
    <w:rsid w:val="00B14FF5"/>
    <w:rsid w:val="00B21CE5"/>
    <w:rsid w:val="00B30740"/>
    <w:rsid w:val="00B57847"/>
    <w:rsid w:val="00B63B5E"/>
    <w:rsid w:val="00BB640B"/>
    <w:rsid w:val="00BD6654"/>
    <w:rsid w:val="00BD74E3"/>
    <w:rsid w:val="00C01C4E"/>
    <w:rsid w:val="00C11309"/>
    <w:rsid w:val="00C233F5"/>
    <w:rsid w:val="00C24319"/>
    <w:rsid w:val="00C327FE"/>
    <w:rsid w:val="00C65950"/>
    <w:rsid w:val="00C80627"/>
    <w:rsid w:val="00C858D7"/>
    <w:rsid w:val="00C903C7"/>
    <w:rsid w:val="00CB0D9F"/>
    <w:rsid w:val="00CB2E96"/>
    <w:rsid w:val="00CD1971"/>
    <w:rsid w:val="00CE18A7"/>
    <w:rsid w:val="00D00B4A"/>
    <w:rsid w:val="00D041CB"/>
    <w:rsid w:val="00D22E83"/>
    <w:rsid w:val="00D4384A"/>
    <w:rsid w:val="00D47579"/>
    <w:rsid w:val="00D91CD1"/>
    <w:rsid w:val="00D93A83"/>
    <w:rsid w:val="00DC23DB"/>
    <w:rsid w:val="00DC7295"/>
    <w:rsid w:val="00E00FE8"/>
    <w:rsid w:val="00E33188"/>
    <w:rsid w:val="00E34646"/>
    <w:rsid w:val="00E35D24"/>
    <w:rsid w:val="00E5163E"/>
    <w:rsid w:val="00E95A9A"/>
    <w:rsid w:val="00EB1A13"/>
    <w:rsid w:val="00EB213C"/>
    <w:rsid w:val="00EE2DD7"/>
    <w:rsid w:val="00F07446"/>
    <w:rsid w:val="00F24D49"/>
    <w:rsid w:val="00F35750"/>
    <w:rsid w:val="00F4111F"/>
    <w:rsid w:val="00F44094"/>
    <w:rsid w:val="00F51DA1"/>
    <w:rsid w:val="00F76B97"/>
    <w:rsid w:val="00F77DF0"/>
    <w:rsid w:val="00F8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CF1E8FB"/>
  <w15:docId w15:val="{A12ACD61-6005-4957-8A71-6B9A6B68B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2" w:line="249" w:lineRule="auto"/>
      <w:ind w:left="10" w:hanging="10"/>
    </w:pPr>
    <w:rPr>
      <w:rFonts w:ascii="Arial" w:eastAsia="Arial" w:hAnsi="Arial" w:cs="Arial"/>
      <w:color w:val="000000"/>
      <w:sz w:val="24"/>
    </w:rPr>
  </w:style>
  <w:style w:type="paragraph" w:styleId="Heading1">
    <w:name w:val="heading 1"/>
    <w:basedOn w:val="Normal"/>
    <w:next w:val="Normal"/>
    <w:link w:val="Heading1Char"/>
    <w:uiPriority w:val="9"/>
    <w:qFormat/>
    <w:rsid w:val="00405316"/>
    <w:pPr>
      <w:spacing w:after="0" w:line="259" w:lineRule="auto"/>
      <w:ind w:left="261" w:firstLine="0"/>
      <w:jc w:val="center"/>
      <w:outlineLvl w:val="0"/>
    </w:pPr>
    <w:rPr>
      <w:rFonts w:ascii="Calibri" w:eastAsia="Calibri" w:hAnsi="Calibri" w:cs="Calibri"/>
      <w:noProof/>
      <w:sz w:val="22"/>
    </w:rPr>
  </w:style>
  <w:style w:type="paragraph" w:styleId="Heading2">
    <w:name w:val="heading 2"/>
    <w:basedOn w:val="Normal"/>
    <w:next w:val="Normal"/>
    <w:link w:val="Heading2Char"/>
    <w:uiPriority w:val="9"/>
    <w:unhideWhenUsed/>
    <w:qFormat/>
    <w:rsid w:val="00405316"/>
    <w:pPr>
      <w:spacing w:after="208" w:line="259" w:lineRule="auto"/>
      <w:ind w:left="-5"/>
      <w:outlineLvl w:val="1"/>
    </w:pPr>
    <w:rPr>
      <w:b/>
      <w:sz w:val="28"/>
    </w:rPr>
  </w:style>
  <w:style w:type="paragraph" w:styleId="Heading3">
    <w:name w:val="heading 3"/>
    <w:basedOn w:val="Normal"/>
    <w:next w:val="Normal"/>
    <w:link w:val="Heading3Char"/>
    <w:uiPriority w:val="9"/>
    <w:unhideWhenUsed/>
    <w:qFormat/>
    <w:rsid w:val="00405316"/>
    <w:pPr>
      <w:spacing w:after="0" w:line="259" w:lineRule="auto"/>
      <w:ind w:left="-5"/>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uiPriority w:val="9"/>
    <w:rsid w:val="00405316"/>
    <w:rPr>
      <w:rFonts w:ascii="Arial" w:eastAsia="Arial" w:hAnsi="Arial" w:cs="Arial"/>
      <w:b/>
      <w:color w:val="000000"/>
      <w:sz w:val="28"/>
    </w:rPr>
  </w:style>
  <w:style w:type="character" w:customStyle="1" w:styleId="Heading1Char">
    <w:name w:val="Heading 1 Char"/>
    <w:link w:val="Heading1"/>
    <w:uiPriority w:val="9"/>
    <w:rsid w:val="00405316"/>
    <w:rPr>
      <w:rFonts w:ascii="Calibri" w:eastAsia="Calibri" w:hAnsi="Calibri" w:cs="Calibri"/>
      <w:noProof/>
      <w:color w:val="000000"/>
    </w:rPr>
  </w:style>
  <w:style w:type="character" w:styleId="CommentReference">
    <w:name w:val="annotation reference"/>
    <w:basedOn w:val="DefaultParagraphFont"/>
    <w:uiPriority w:val="99"/>
    <w:semiHidden/>
    <w:unhideWhenUsed/>
    <w:rsid w:val="00D22E83"/>
    <w:rPr>
      <w:sz w:val="16"/>
      <w:szCs w:val="16"/>
    </w:rPr>
  </w:style>
  <w:style w:type="paragraph" w:styleId="CommentText">
    <w:name w:val="annotation text"/>
    <w:basedOn w:val="Normal"/>
    <w:link w:val="CommentTextChar"/>
    <w:uiPriority w:val="99"/>
    <w:semiHidden/>
    <w:unhideWhenUsed/>
    <w:rsid w:val="00D22E83"/>
    <w:pPr>
      <w:spacing w:line="240" w:lineRule="auto"/>
    </w:pPr>
    <w:rPr>
      <w:sz w:val="20"/>
      <w:szCs w:val="20"/>
    </w:rPr>
  </w:style>
  <w:style w:type="character" w:customStyle="1" w:styleId="CommentTextChar">
    <w:name w:val="Comment Text Char"/>
    <w:basedOn w:val="DefaultParagraphFont"/>
    <w:link w:val="CommentText"/>
    <w:uiPriority w:val="99"/>
    <w:semiHidden/>
    <w:rsid w:val="00D22E83"/>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D22E83"/>
    <w:rPr>
      <w:b/>
      <w:bCs/>
    </w:rPr>
  </w:style>
  <w:style w:type="character" w:customStyle="1" w:styleId="CommentSubjectChar">
    <w:name w:val="Comment Subject Char"/>
    <w:basedOn w:val="CommentTextChar"/>
    <w:link w:val="CommentSubject"/>
    <w:uiPriority w:val="99"/>
    <w:semiHidden/>
    <w:rsid w:val="00D22E83"/>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D22E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E83"/>
    <w:rPr>
      <w:rFonts w:ascii="Segoe UI" w:eastAsia="Arial" w:hAnsi="Segoe UI" w:cs="Segoe UI"/>
      <w:color w:val="000000"/>
      <w:sz w:val="18"/>
      <w:szCs w:val="18"/>
    </w:rPr>
  </w:style>
  <w:style w:type="paragraph" w:styleId="Footer">
    <w:name w:val="footer"/>
    <w:basedOn w:val="Normal"/>
    <w:link w:val="FooterChar"/>
    <w:uiPriority w:val="99"/>
    <w:unhideWhenUsed/>
    <w:rsid w:val="0063375B"/>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63375B"/>
    <w:rPr>
      <w:rFonts w:cs="Times New Roman"/>
    </w:rPr>
  </w:style>
  <w:style w:type="character" w:styleId="PageNumber">
    <w:name w:val="page number"/>
    <w:basedOn w:val="DefaultParagraphFont"/>
    <w:rsid w:val="00771235"/>
  </w:style>
  <w:style w:type="paragraph" w:customStyle="1" w:styleId="zzTrailerDocName">
    <w:name w:val="zzTrailerDocName"/>
    <w:basedOn w:val="Normal"/>
    <w:link w:val="zzTrailerDocNameChar"/>
    <w:rsid w:val="00686F25"/>
    <w:pPr>
      <w:spacing w:after="208" w:line="259" w:lineRule="auto"/>
      <w:ind w:left="-5"/>
    </w:pPr>
    <w:rPr>
      <w:b/>
      <w:sz w:val="16"/>
    </w:rPr>
  </w:style>
  <w:style w:type="character" w:customStyle="1" w:styleId="zzTrailerDocNameChar">
    <w:name w:val="zzTrailerDocName Char"/>
    <w:basedOn w:val="DefaultParagraphFont"/>
    <w:link w:val="zzTrailerDocName"/>
    <w:rsid w:val="00686F25"/>
    <w:rPr>
      <w:rFonts w:ascii="Arial" w:eastAsia="Arial" w:hAnsi="Arial" w:cs="Arial"/>
      <w:b/>
      <w:color w:val="000000"/>
      <w:sz w:val="16"/>
    </w:rPr>
  </w:style>
  <w:style w:type="paragraph" w:styleId="ListParagraph">
    <w:name w:val="List Paragraph"/>
    <w:basedOn w:val="Normal"/>
    <w:uiPriority w:val="34"/>
    <w:qFormat/>
    <w:rsid w:val="003F48B9"/>
    <w:pPr>
      <w:ind w:left="720"/>
      <w:contextualSpacing/>
    </w:pPr>
  </w:style>
  <w:style w:type="character" w:styleId="Hyperlink">
    <w:name w:val="Hyperlink"/>
    <w:rsid w:val="008969C8"/>
    <w:rPr>
      <w:color w:val="0000FF"/>
      <w:u w:val="single"/>
    </w:rPr>
  </w:style>
  <w:style w:type="character" w:styleId="UnresolvedMention">
    <w:name w:val="Unresolved Mention"/>
    <w:basedOn w:val="DefaultParagraphFont"/>
    <w:uiPriority w:val="99"/>
    <w:semiHidden/>
    <w:unhideWhenUsed/>
    <w:rsid w:val="008969C8"/>
    <w:rPr>
      <w:color w:val="605E5C"/>
      <w:shd w:val="clear" w:color="auto" w:fill="E1DFDD"/>
    </w:rPr>
  </w:style>
  <w:style w:type="paragraph" w:styleId="BodyText">
    <w:name w:val="Body Text"/>
    <w:basedOn w:val="Normal"/>
    <w:link w:val="BodyTextChar"/>
    <w:uiPriority w:val="1"/>
    <w:qFormat/>
    <w:rsid w:val="00B30740"/>
    <w:pPr>
      <w:widowControl w:val="0"/>
      <w:autoSpaceDE w:val="0"/>
      <w:autoSpaceDN w:val="0"/>
      <w:spacing w:after="0" w:line="240" w:lineRule="auto"/>
      <w:ind w:left="0" w:firstLine="0"/>
    </w:pPr>
    <w:rPr>
      <w:color w:val="auto"/>
      <w:szCs w:val="24"/>
    </w:rPr>
  </w:style>
  <w:style w:type="character" w:customStyle="1" w:styleId="BodyTextChar">
    <w:name w:val="Body Text Char"/>
    <w:basedOn w:val="DefaultParagraphFont"/>
    <w:link w:val="BodyText"/>
    <w:uiPriority w:val="1"/>
    <w:rsid w:val="00B30740"/>
    <w:rPr>
      <w:rFonts w:ascii="Arial" w:eastAsia="Arial" w:hAnsi="Arial" w:cs="Arial"/>
      <w:sz w:val="24"/>
      <w:szCs w:val="24"/>
    </w:rPr>
  </w:style>
  <w:style w:type="paragraph" w:customStyle="1" w:styleId="Quick1">
    <w:name w:val="Quick 1."/>
    <w:basedOn w:val="Normal"/>
    <w:rsid w:val="00C24319"/>
    <w:pPr>
      <w:widowControl w:val="0"/>
      <w:numPr>
        <w:numId w:val="4"/>
      </w:numPr>
      <w:spacing w:after="0" w:line="240" w:lineRule="auto"/>
      <w:ind w:left="720" w:hanging="720"/>
    </w:pPr>
    <w:rPr>
      <w:rFonts w:eastAsia="Times New Roman" w:cs="Times New Roman"/>
      <w:snapToGrid w:val="0"/>
      <w:color w:val="auto"/>
      <w:szCs w:val="20"/>
    </w:rPr>
  </w:style>
  <w:style w:type="character" w:styleId="FollowedHyperlink">
    <w:name w:val="FollowedHyperlink"/>
    <w:basedOn w:val="DefaultParagraphFont"/>
    <w:uiPriority w:val="99"/>
    <w:semiHidden/>
    <w:unhideWhenUsed/>
    <w:rsid w:val="00B57847"/>
    <w:rPr>
      <w:color w:val="954F72" w:themeColor="followedHyperlink"/>
      <w:u w:val="single"/>
    </w:rPr>
  </w:style>
  <w:style w:type="character" w:customStyle="1" w:styleId="Heading3Char">
    <w:name w:val="Heading 3 Char"/>
    <w:basedOn w:val="DefaultParagraphFont"/>
    <w:link w:val="Heading3"/>
    <w:uiPriority w:val="9"/>
    <w:rsid w:val="00405316"/>
    <w:rPr>
      <w:rFonts w:ascii="Arial" w:eastAsia="Arial" w:hAnsi="Arial" w:cs="Arial"/>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eginfo.legislature.ca.gov/faces/billNavClient.xhtml?bill_id=202120220SB1242" TargetMode="External"/><Relationship Id="rId18" Type="http://schemas.openxmlformats.org/officeDocument/2006/relationships/hyperlink" Target="https://leginfo.legislature.ca.gov/faces/codes_displayText.xhtml?lawCode=INS&amp;division=1.&amp;title=&amp;part=2.&amp;chapter=12.&amp;article=1." TargetMode="External"/><Relationship Id="rId26" Type="http://schemas.openxmlformats.org/officeDocument/2006/relationships/hyperlink" Target="https://leginfo.legislature.ca.gov/faces/codes_displaySection.xhtml?lawCode=INS&amp;sectionNum=1875.14." TargetMode="External"/><Relationship Id="rId39" Type="http://schemas.openxmlformats.org/officeDocument/2006/relationships/header" Target="header2.xml"/><Relationship Id="rId21" Type="http://schemas.openxmlformats.org/officeDocument/2006/relationships/hyperlink" Target="https://www.insurance.ca.gov/0300-fraud/0100-fraud-division-overview/12-siu/" TargetMode="External"/><Relationship Id="rId34" Type="http://schemas.openxmlformats.org/officeDocument/2006/relationships/hyperlink" Target="https://leginfo.legislature.ca.gov/faces/codes_displaySection.xhtml?lawCode=INS&amp;sectionNum=1875.20." TargetMode="External"/><Relationship Id="rId42"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leginfo.legislature.ca.gov/faces/codes_displaySection.xhtml?sectionNum=550.&amp;nodeTreePath=4.15.9&amp;lawCode=PEN" TargetMode="External"/><Relationship Id="rId29" Type="http://schemas.openxmlformats.org/officeDocument/2006/relationships/hyperlink" Target="https://leginfo.legislature.ca.gov/faces/codes_displaySection.xhtml?lawCode=INS&amp;sectionNum=1872.4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info.legislature.ca.gov/faces/codes_displaySection.xhtml?lawCode=INS&amp;sectionNum=1749.32." TargetMode="External"/><Relationship Id="rId24" Type="http://schemas.openxmlformats.org/officeDocument/2006/relationships/hyperlink" Target="https://govt.westlaw.com/calregs/Browse/Home/California/CaliforniaCodeofRegulations?guid=IE8C3D8105C2F11EC9C68000D3A7C4BC3&amp;originationContext=documenttoc&amp;transitionType=Default&amp;contextData=(sc.Default)" TargetMode="External"/><Relationship Id="rId32" Type="http://schemas.openxmlformats.org/officeDocument/2006/relationships/hyperlink" Target="https://leginfo.legislature.ca.gov/faces/codes_displaySection.xhtml?lawCode=INS&amp;sectionNum=1875.8." TargetMode="External"/><Relationship Id="rId37" Type="http://schemas.openxmlformats.org/officeDocument/2006/relationships/hyperlink" Target="https://leginfo.legislature.ca.gov/faces/codes_displaySection.xhtml?lawCode=INS&amp;sectionNum=1872.41."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eginfo.legislature.ca.gov/faces/codes_displaySection.xhtml?sectionNum=549.&amp;nodeTreePath=4.15.9&amp;lawCode=PEN" TargetMode="External"/><Relationship Id="rId23" Type="http://schemas.openxmlformats.org/officeDocument/2006/relationships/hyperlink" Target="https://govt.westlaw.com/calregs/Document/IE8CB040C5C2F11EC9C68000D3A7C4BC3?viewType=FullText&amp;originationContext=documenttoc&amp;transitionType=CategoryPageItem&amp;contextData=(sc.Default)" TargetMode="External"/><Relationship Id="rId28" Type="http://schemas.openxmlformats.org/officeDocument/2006/relationships/hyperlink" Target="https://leginfo.legislature.ca.gov/faces/codes_displaySection.xhtml?lawCode=INS&amp;sectionNum=1871.2." TargetMode="External"/><Relationship Id="rId36" Type="http://schemas.openxmlformats.org/officeDocument/2006/relationships/hyperlink" Target="https://leginfo.legislature.ca.gov/faces/codes_displayText.xhtml?lawCode=INS&amp;division=1.&amp;title=&amp;part=2.&amp;chapter=12.&amp;article=1." TargetMode="External"/><Relationship Id="rId10" Type="http://schemas.openxmlformats.org/officeDocument/2006/relationships/hyperlink" Target="https://leginfo.legislature.ca.gov/faces/codes_displaySection.xhtml?lawCode=INS&amp;sectionNum=1749.31." TargetMode="External"/><Relationship Id="rId19" Type="http://schemas.openxmlformats.org/officeDocument/2006/relationships/hyperlink" Target="https://www.insurance.ca.gov/0300-fraud/0100-fraud-division-overview/10-anti-fraud-prog/" TargetMode="External"/><Relationship Id="rId31" Type="http://schemas.openxmlformats.org/officeDocument/2006/relationships/hyperlink" Target="https://leginfo.legislature.ca.gov/faces/codes_displaySection.xhtml?lawCode=INS&amp;sectionNum=1872.41."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eginfo.legislature.ca.gov/faces/codes_displaySection.xhtml?lawCode=INS&amp;sectionNum=1749.3." TargetMode="External"/><Relationship Id="rId14" Type="http://schemas.openxmlformats.org/officeDocument/2006/relationships/hyperlink" Target="https://leginfo.legislature.ca.gov/faces/codes_displaySection.xhtml?lawCode=INS&amp;sectionNum=1872.41." TargetMode="External"/><Relationship Id="rId22" Type="http://schemas.openxmlformats.org/officeDocument/2006/relationships/hyperlink" Target="https://leginfo.legislature.ca.gov/faces/codes_displayText.xhtml?lawCode=INS&amp;division=1.&amp;title=&amp;part=2.&amp;chapter=12.&amp;article=5.6." TargetMode="External"/><Relationship Id="rId27" Type="http://schemas.openxmlformats.org/officeDocument/2006/relationships/hyperlink" Target="https://leginfo.legislature.ca.gov/faces/codes_displaySection.xhtml?lawCode=INS&amp;sectionNum=1874.8." TargetMode="External"/><Relationship Id="rId30" Type="http://schemas.openxmlformats.org/officeDocument/2006/relationships/hyperlink" Target="https://govt.westlaw.com/calregs/Document/IE8F39AA35C2F11EC9C68000D3A7C4BC3?viewType=FullText&amp;originationContext=documenttoc&amp;transitionType=CategoryPageItem&amp;contextData=(sc.Default)" TargetMode="External"/><Relationship Id="rId35" Type="http://schemas.openxmlformats.org/officeDocument/2006/relationships/hyperlink" Target="https://leginfo.legislature.ca.gov/faces/codes_displayText.xhtml?lawCode=INS&amp;division=1.&amp;title=&amp;part=2.&amp;chapter=12.&amp;article=1." TargetMode="External"/><Relationship Id="rId43" Type="http://schemas.openxmlformats.org/officeDocument/2006/relationships/footer" Target="footer3.xml"/><Relationship Id="rId8" Type="http://schemas.openxmlformats.org/officeDocument/2006/relationships/hyperlink" Target="https://leginfo.legislature.ca.gov/faces/codes_displaySection.xhtml?sectionNum=1749&amp;lawCode=INS" TargetMode="External"/><Relationship Id="rId3" Type="http://schemas.openxmlformats.org/officeDocument/2006/relationships/styles" Target="styles.xml"/><Relationship Id="rId12" Type="http://schemas.openxmlformats.org/officeDocument/2006/relationships/hyperlink" Target="https://leginfo.legislature.ca.gov/faces/codes_displaySection.xhtml?lawCode=INS&amp;sectionNum=1749.33." TargetMode="External"/><Relationship Id="rId17" Type="http://schemas.openxmlformats.org/officeDocument/2006/relationships/hyperlink" Target="https://www.insurance.ca.gov/0300-fraud/" TargetMode="External"/><Relationship Id="rId25" Type="http://schemas.openxmlformats.org/officeDocument/2006/relationships/hyperlink" Target="https://govt.westlaw.com/calregs/Document/IE8FBD80D5C2F11EC9C68000D3A7C4BC3?viewType=FullText&amp;originationContext=documenttoc&amp;transitionType=CategoryPageItem&amp;contextData=(sc.Default)" TargetMode="External"/><Relationship Id="rId33" Type="http://schemas.openxmlformats.org/officeDocument/2006/relationships/hyperlink" Target="https://leginfo.legislature.ca.gov/faces/codes_displaySection.xhtml?lawCode=INS&amp;sectionNum=1875.14." TargetMode="External"/><Relationship Id="rId38" Type="http://schemas.openxmlformats.org/officeDocument/2006/relationships/header" Target="header1.xml"/><Relationship Id="rId20" Type="http://schemas.openxmlformats.org/officeDocument/2006/relationships/hyperlink" Target="https://www.insurance.ca.gov/0400-news/0200-studies-reports/0700-commissioner-report/" TargetMode="External"/><Relationship Id="rId4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416E3-36A8-4B4B-8D22-56D1E19C1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Microsoft Word - Ethics Course Dev Review Guidelines Sep 11 (2)</vt:lpstr>
    </vt:vector>
  </TitlesOfParts>
  <Company>California Dept of Insurance</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Ethics Course Dev Review Guidelines Sep 11 (2)</dc:title>
  <dc:subject/>
  <dc:creator>bankstonr</dc:creator>
  <cp:keywords/>
  <cp:lastModifiedBy>Galsote, Rebecca</cp:lastModifiedBy>
  <cp:revision>5</cp:revision>
  <dcterms:created xsi:type="dcterms:W3CDTF">2025-03-04T20:42:00Z</dcterms:created>
  <dcterms:modified xsi:type="dcterms:W3CDTF">2025-03-06T17:38:00Z</dcterms:modified>
</cp:coreProperties>
</file>