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C9F" w:rsidRPr="00D016A5" w:rsidRDefault="00126BBC">
      <w:pPr>
        <w:spacing w:after="5" w:line="251" w:lineRule="auto"/>
        <w:ind w:left="227" w:right="8514" w:hanging="142"/>
        <w:rPr>
          <w:sz w:val="26"/>
          <w:szCs w:val="26"/>
        </w:rPr>
      </w:pPr>
      <w:r w:rsidRPr="00D016A5">
        <w:rPr>
          <w:rFonts w:ascii="Calibri" w:eastAsia="Calibri" w:hAnsi="Calibri" w:cs="Calibri"/>
          <w:sz w:val="26"/>
          <w:szCs w:val="26"/>
        </w:rPr>
        <w:t xml:space="preserve"> </w:t>
      </w:r>
      <w:r w:rsidRPr="00D016A5">
        <w:rPr>
          <w:b/>
          <w:sz w:val="26"/>
          <w:szCs w:val="26"/>
        </w:rPr>
        <w:t>Overview</w:t>
      </w:r>
      <w:r w:rsidRPr="00D016A5">
        <w:rPr>
          <w:sz w:val="26"/>
          <w:szCs w:val="26"/>
        </w:rPr>
        <w:t xml:space="preserve"> </w:t>
      </w:r>
    </w:p>
    <w:p w:rsidR="00120C9F" w:rsidRPr="00D016A5" w:rsidRDefault="00126BBC" w:rsidP="00D016A5">
      <w:pPr>
        <w:spacing w:after="36" w:line="259" w:lineRule="auto"/>
        <w:ind w:left="100" w:firstLine="0"/>
        <w:rPr>
          <w:szCs w:val="24"/>
        </w:rPr>
      </w:pPr>
      <w:r w:rsidRPr="00D016A5">
        <w:rPr>
          <w:rFonts w:ascii="Calibri" w:eastAsia="Calibri" w:hAnsi="Calibri" w:cs="Calibri"/>
          <w:szCs w:val="24"/>
        </w:rPr>
        <w:t xml:space="preserve"> </w:t>
      </w:r>
    </w:p>
    <w:p w:rsidR="00120C9F" w:rsidRPr="00D016A5" w:rsidRDefault="00126BBC">
      <w:pPr>
        <w:spacing w:after="4" w:line="238" w:lineRule="auto"/>
        <w:ind w:left="232" w:right="302" w:firstLine="0"/>
        <w:jc w:val="both"/>
        <w:rPr>
          <w:szCs w:val="24"/>
        </w:rPr>
      </w:pPr>
      <w:r w:rsidRPr="00D016A5">
        <w:rPr>
          <w:szCs w:val="24"/>
        </w:rPr>
        <w:t xml:space="preserve">The following outline is a listing of the topics that must be addressed as part of a 15-hour life settlement broker course designed to meet the requirements in </w:t>
      </w:r>
      <w:r w:rsidR="00D016A5" w:rsidRPr="00D016A5">
        <w:rPr>
          <w:szCs w:val="24"/>
        </w:rPr>
        <w:t>California Insurance Code s</w:t>
      </w:r>
      <w:r w:rsidRPr="00D016A5">
        <w:rPr>
          <w:szCs w:val="24"/>
        </w:rPr>
        <w:t>ection</w:t>
      </w:r>
      <w:r w:rsidR="003D1637" w:rsidRPr="00D016A5">
        <w:rPr>
          <w:szCs w:val="24"/>
        </w:rPr>
        <w:t xml:space="preserve">s 10113.1, </w:t>
      </w:r>
      <w:r w:rsidRPr="00D016A5">
        <w:rPr>
          <w:szCs w:val="24"/>
        </w:rPr>
        <w:t>10113.2</w:t>
      </w:r>
      <w:r w:rsidR="00D016A5" w:rsidRPr="00D016A5">
        <w:rPr>
          <w:szCs w:val="24"/>
        </w:rPr>
        <w:t>,</w:t>
      </w:r>
      <w:r w:rsidR="003D1637" w:rsidRPr="00D016A5">
        <w:rPr>
          <w:szCs w:val="24"/>
        </w:rPr>
        <w:t xml:space="preserve"> and 10113.3 </w:t>
      </w:r>
      <w:r w:rsidRPr="00D016A5">
        <w:rPr>
          <w:szCs w:val="24"/>
        </w:rPr>
        <w:t xml:space="preserve">(Senate Bill (SB) 98, Calderon, Chapter 343, Statutes of 2009, Life insurance: contracts and viatical settlements). </w:t>
      </w:r>
    </w:p>
    <w:p w:rsidR="00120C9F" w:rsidRPr="00D016A5" w:rsidRDefault="00126BBC">
      <w:pPr>
        <w:spacing w:after="0" w:line="259" w:lineRule="auto"/>
        <w:ind w:left="100" w:firstLine="0"/>
        <w:rPr>
          <w:szCs w:val="24"/>
        </w:rPr>
      </w:pPr>
      <w:r w:rsidRPr="00D016A5">
        <w:rPr>
          <w:rFonts w:ascii="Calibri" w:eastAsia="Calibri" w:hAnsi="Calibri" w:cs="Calibri"/>
          <w:szCs w:val="24"/>
        </w:rPr>
        <w:t xml:space="preserve"> </w:t>
      </w:r>
    </w:p>
    <w:p w:rsidR="00120C9F" w:rsidRPr="00D016A5" w:rsidRDefault="00126BBC">
      <w:pPr>
        <w:spacing w:after="0" w:line="248" w:lineRule="auto"/>
        <w:ind w:left="242" w:right="17"/>
        <w:rPr>
          <w:szCs w:val="24"/>
        </w:rPr>
      </w:pPr>
      <w:r w:rsidRPr="00D016A5">
        <w:rPr>
          <w:szCs w:val="24"/>
        </w:rPr>
        <w:t xml:space="preserve">Specifically, the law adds </w:t>
      </w:r>
      <w:r w:rsidR="003D1637" w:rsidRPr="00D016A5">
        <w:rPr>
          <w:szCs w:val="24"/>
        </w:rPr>
        <w:t xml:space="preserve">new provisions to the </w:t>
      </w:r>
      <w:r w:rsidRPr="00D016A5">
        <w:rPr>
          <w:szCs w:val="24"/>
        </w:rPr>
        <w:t>California Insurance Code relating to life</w:t>
      </w:r>
      <w:r w:rsidR="003D1637" w:rsidRPr="00D016A5">
        <w:rPr>
          <w:szCs w:val="24"/>
        </w:rPr>
        <w:t xml:space="preserve"> settlements,</w:t>
      </w:r>
      <w:r w:rsidRPr="00D016A5">
        <w:rPr>
          <w:szCs w:val="24"/>
        </w:rPr>
        <w:t xml:space="preserve"> </w:t>
      </w:r>
      <w:r w:rsidR="003D1637" w:rsidRPr="00D016A5">
        <w:rPr>
          <w:szCs w:val="24"/>
        </w:rPr>
        <w:t xml:space="preserve">including </w:t>
      </w:r>
      <w:r w:rsidRPr="00D016A5">
        <w:rPr>
          <w:szCs w:val="24"/>
        </w:rPr>
        <w:t xml:space="preserve">that individuals acting as life settlement brokers shall complete an application, pay the appropriate fee and if the applicant is a life agent for less than one year or does not hold a life agent license, the applicant must complete 15 hours of </w:t>
      </w:r>
      <w:r w:rsidR="003D1637" w:rsidRPr="00D016A5">
        <w:rPr>
          <w:szCs w:val="24"/>
        </w:rPr>
        <w:t xml:space="preserve">life settlement </w:t>
      </w:r>
      <w:r w:rsidRPr="00D016A5">
        <w:rPr>
          <w:szCs w:val="24"/>
        </w:rPr>
        <w:t xml:space="preserve">continuing education prior to operating as a broker. The education requirement took effect on July 1, 2010. In addition, the California Department of Insurance has adopted comprehensive life settlement regulations, and all persons transacting life settlements must be familiar with these. (See Title 10, California Code of Regulations, Section 2548.2 et seq.) </w:t>
      </w:r>
    </w:p>
    <w:p w:rsidR="00120C9F" w:rsidRPr="00D016A5" w:rsidRDefault="00126BBC" w:rsidP="00D016A5">
      <w:pPr>
        <w:spacing w:after="25" w:line="259" w:lineRule="auto"/>
        <w:ind w:left="100" w:firstLine="0"/>
        <w:rPr>
          <w:szCs w:val="24"/>
        </w:rPr>
      </w:pPr>
      <w:r w:rsidRPr="00D016A5">
        <w:rPr>
          <w:rFonts w:ascii="Calibri" w:eastAsia="Calibri" w:hAnsi="Calibri" w:cs="Calibri"/>
          <w:szCs w:val="24"/>
        </w:rPr>
        <w:t xml:space="preserve"> </w:t>
      </w:r>
    </w:p>
    <w:p w:rsidR="00120C9F" w:rsidRPr="00D016A5" w:rsidRDefault="00126BBC">
      <w:pPr>
        <w:spacing w:after="5" w:line="251" w:lineRule="auto"/>
        <w:ind w:left="232" w:firstLine="0"/>
        <w:rPr>
          <w:sz w:val="26"/>
          <w:szCs w:val="26"/>
        </w:rPr>
      </w:pPr>
      <w:r w:rsidRPr="00D016A5">
        <w:rPr>
          <w:b/>
          <w:sz w:val="26"/>
          <w:szCs w:val="26"/>
        </w:rPr>
        <w:t>Curriculum Objectives</w:t>
      </w:r>
      <w:r w:rsidRPr="00D016A5">
        <w:rPr>
          <w:sz w:val="26"/>
          <w:szCs w:val="26"/>
        </w:rPr>
        <w:t xml:space="preserve"> </w:t>
      </w:r>
    </w:p>
    <w:p w:rsidR="00120C9F" w:rsidRPr="00D016A5" w:rsidRDefault="00126BBC">
      <w:pPr>
        <w:spacing w:after="0" w:line="259" w:lineRule="auto"/>
        <w:ind w:left="100" w:firstLine="0"/>
        <w:rPr>
          <w:szCs w:val="24"/>
        </w:rPr>
      </w:pPr>
      <w:r w:rsidRPr="00D016A5">
        <w:rPr>
          <w:rFonts w:ascii="Calibri" w:eastAsia="Calibri" w:hAnsi="Calibri" w:cs="Calibri"/>
          <w:szCs w:val="24"/>
        </w:rPr>
        <w:t xml:space="preserve"> </w:t>
      </w:r>
    </w:p>
    <w:p w:rsidR="00120C9F" w:rsidRPr="00D016A5" w:rsidRDefault="00126BBC">
      <w:pPr>
        <w:spacing w:after="0" w:line="248" w:lineRule="auto"/>
        <w:ind w:left="242" w:right="17"/>
        <w:rPr>
          <w:szCs w:val="24"/>
        </w:rPr>
      </w:pPr>
      <w:r w:rsidRPr="00D016A5">
        <w:rPr>
          <w:szCs w:val="24"/>
        </w:rPr>
        <w:t xml:space="preserve">Each topic must be developed in its entirety and should explain (not merely recite) chaptered legislation and pertinent regulations. Each topic should </w:t>
      </w:r>
      <w:r w:rsidRPr="00D016A5">
        <w:rPr>
          <w:b/>
          <w:i/>
          <w:szCs w:val="24"/>
        </w:rPr>
        <w:t xml:space="preserve">include an explanation </w:t>
      </w:r>
      <w:r w:rsidRPr="00D016A5">
        <w:rPr>
          <w:szCs w:val="24"/>
        </w:rPr>
        <w:t xml:space="preserve">of why they are significant to the broker and client. The subjects do not need to be presented in this outline order. However, they do need to be developed in a clear and meaningful manner so that the student derives a clear understanding of the pertinent issues and implications.  All statistical information and points of fact must be referenced to the original source data. </w:t>
      </w:r>
    </w:p>
    <w:p w:rsidR="00120C9F" w:rsidRPr="00D016A5" w:rsidRDefault="00126BBC">
      <w:pPr>
        <w:spacing w:after="0" w:line="259" w:lineRule="auto"/>
        <w:ind w:left="100" w:firstLine="0"/>
        <w:rPr>
          <w:szCs w:val="24"/>
        </w:rPr>
      </w:pPr>
      <w:r w:rsidRPr="00D016A5">
        <w:rPr>
          <w:rFonts w:ascii="Calibri" w:eastAsia="Calibri" w:hAnsi="Calibri" w:cs="Calibri"/>
          <w:szCs w:val="24"/>
        </w:rPr>
        <w:t xml:space="preserve"> </w:t>
      </w:r>
    </w:p>
    <w:p w:rsidR="00120C9F" w:rsidRPr="00D016A5" w:rsidRDefault="00126BBC">
      <w:pPr>
        <w:spacing w:after="0" w:line="248" w:lineRule="auto"/>
        <w:ind w:left="242" w:right="17"/>
        <w:rPr>
          <w:szCs w:val="24"/>
        </w:rPr>
      </w:pPr>
      <w:r w:rsidRPr="00D016A5">
        <w:rPr>
          <w:szCs w:val="24"/>
        </w:rPr>
        <w:t xml:space="preserve">Examples are encouraged to illustrate points and concepts. </w:t>
      </w:r>
    </w:p>
    <w:p w:rsidR="00120C9F" w:rsidRPr="00D016A5" w:rsidRDefault="00126BBC">
      <w:pPr>
        <w:spacing w:after="0" w:line="259" w:lineRule="auto"/>
        <w:ind w:left="100" w:firstLine="0"/>
        <w:rPr>
          <w:szCs w:val="24"/>
        </w:rPr>
      </w:pPr>
      <w:r w:rsidRPr="00D016A5">
        <w:rPr>
          <w:rFonts w:ascii="Calibri" w:eastAsia="Calibri" w:hAnsi="Calibri" w:cs="Calibri"/>
          <w:szCs w:val="24"/>
        </w:rPr>
        <w:t xml:space="preserve"> </w:t>
      </w:r>
    </w:p>
    <w:p w:rsidR="00120C9F" w:rsidRPr="00D016A5" w:rsidRDefault="00126BBC">
      <w:pPr>
        <w:spacing w:after="0" w:line="248" w:lineRule="auto"/>
        <w:ind w:left="242" w:right="17"/>
        <w:rPr>
          <w:szCs w:val="24"/>
        </w:rPr>
      </w:pPr>
      <w:r w:rsidRPr="00D016A5">
        <w:rPr>
          <w:szCs w:val="24"/>
        </w:rPr>
        <w:t xml:space="preserve">For contact courses, the topics need to be articulated in writing to the extent that the student can relate the words of the instructor to the course material in a meaningful way. For correspondence courses, each topic must be developed in full so that the student can get an understanding of the material as if he or she </w:t>
      </w:r>
      <w:r w:rsidR="003D1637" w:rsidRPr="00D016A5">
        <w:rPr>
          <w:szCs w:val="24"/>
        </w:rPr>
        <w:t xml:space="preserve">were </w:t>
      </w:r>
      <w:r w:rsidRPr="00D016A5">
        <w:rPr>
          <w:szCs w:val="24"/>
        </w:rPr>
        <w:t xml:space="preserve">attending a contact course. </w:t>
      </w:r>
    </w:p>
    <w:p w:rsidR="00120C9F" w:rsidRDefault="00126BBC">
      <w:pPr>
        <w:spacing w:after="47" w:line="259" w:lineRule="auto"/>
        <w:ind w:left="100" w:firstLine="0"/>
      </w:pPr>
      <w:r>
        <w:rPr>
          <w:rFonts w:ascii="Calibri" w:eastAsia="Calibri" w:hAnsi="Calibri" w:cs="Calibri"/>
          <w:sz w:val="10"/>
        </w:rPr>
        <w:t xml:space="preserve"> </w:t>
      </w:r>
    </w:p>
    <w:p w:rsidR="00120C9F" w:rsidRDefault="00126BBC">
      <w:pPr>
        <w:spacing w:after="0" w:line="259" w:lineRule="auto"/>
        <w:ind w:left="100" w:firstLine="0"/>
      </w:pPr>
      <w:r>
        <w:rPr>
          <w:rFonts w:ascii="Calibri" w:eastAsia="Calibri" w:hAnsi="Calibri" w:cs="Calibri"/>
          <w:sz w:val="20"/>
        </w:rPr>
        <w:t xml:space="preserve"> </w:t>
      </w:r>
    </w:p>
    <w:p w:rsidR="00120C9F" w:rsidRDefault="00126BBC">
      <w:pPr>
        <w:spacing w:after="0" w:line="259" w:lineRule="auto"/>
        <w:ind w:left="100" w:right="-11" w:firstLine="0"/>
      </w:pPr>
      <w:r>
        <w:rPr>
          <w:rFonts w:ascii="Calibri" w:eastAsia="Calibri" w:hAnsi="Calibri" w:cs="Calibri"/>
          <w:sz w:val="20"/>
        </w:rPr>
        <w:t xml:space="preserve"> </w:t>
      </w:r>
      <w:r>
        <w:rPr>
          <w:rFonts w:ascii="Calibri" w:eastAsia="Calibri" w:hAnsi="Calibri" w:cs="Calibri"/>
          <w:noProof/>
          <w:sz w:val="22"/>
        </w:rPr>
        <mc:AlternateContent>
          <mc:Choice Requires="wpg">
            <w:drawing>
              <wp:inline distT="0" distB="0" distL="0" distR="0">
                <wp:extent cx="6164580" cy="20574"/>
                <wp:effectExtent l="0" t="0" r="0" b="0"/>
                <wp:docPr id="7411" name="Group 7411"/>
                <wp:cNvGraphicFramePr/>
                <a:graphic xmlns:a="http://schemas.openxmlformats.org/drawingml/2006/main">
                  <a:graphicData uri="http://schemas.microsoft.com/office/word/2010/wordprocessingGroup">
                    <wpg:wgp>
                      <wpg:cNvGrpSpPr/>
                      <wpg:grpSpPr>
                        <a:xfrm>
                          <a:off x="0" y="0"/>
                          <a:ext cx="6164580" cy="20574"/>
                          <a:chOff x="0" y="0"/>
                          <a:chExt cx="6164580" cy="20574"/>
                        </a:xfrm>
                      </wpg:grpSpPr>
                      <wps:wsp>
                        <wps:cNvPr id="11498" name="Shape 11498"/>
                        <wps:cNvSpPr/>
                        <wps:spPr>
                          <a:xfrm>
                            <a:off x="0" y="0"/>
                            <a:ext cx="6164580" cy="20574"/>
                          </a:xfrm>
                          <a:custGeom>
                            <a:avLst/>
                            <a:gdLst/>
                            <a:ahLst/>
                            <a:cxnLst/>
                            <a:rect l="0" t="0" r="0" b="0"/>
                            <a:pathLst>
                              <a:path w="6164580" h="20574">
                                <a:moveTo>
                                  <a:pt x="0" y="0"/>
                                </a:moveTo>
                                <a:lnTo>
                                  <a:pt x="6164580" y="0"/>
                                </a:lnTo>
                                <a:lnTo>
                                  <a:pt x="6164580" y="20574"/>
                                </a:lnTo>
                                <a:lnTo>
                                  <a:pt x="0" y="205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3F82B2" id="Group 7411" o:spid="_x0000_s1026" style="width:485.4pt;height:1.6pt;mso-position-horizontal-relative:char;mso-position-vertical-relative:line" coordsize="6164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">
                <v:shape id="Shape 11498" o:spid="_x0000_s1027" style="position:absolute;width:61645;height:205;visibility:visible;mso-wrap-style:square;v-text-anchor:top" coordsize="6164580,2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ub8kA&#10;AADeAAAADwAAAGRycy9kb3ducmV2LnhtbESPT2vCQBDF74LfYZmCN93YSrHRVUQoSj34py30OGan&#10;STA7m2a3Jn5751DobYb35r3fzJedq9SVmlB6NjAeJaCIM29Lzg18vL8Op6BCRLZYeSYDNwqwXPR7&#10;c0ytb/lI11PMlYRwSNFAEWOdah2yghyGka+JRfv2jcMoa5Nr22Ar4a7Sj0nyrB2WLA0F1rQuKLuc&#10;fp2Bt3Z62OcZBnvbHX82X+fN5XP9ZMzgoVvNQEXq4r/573prBX88eRFeeUdm0I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oZub8kAAADeAAAADwAAAAAAAAAAAAAAAACYAgAA&#10;ZHJzL2Rvd25yZXYueG1sUEsFBgAAAAAEAAQA9QAAAI4DAAAAAA==&#10;" path="m,l6164580,r,20574l,20574,,e" fillcolor="black" stroked="f" strokeweight="0">
                  <v:stroke miterlimit="83231f" joinstyle="miter"/>
                  <v:path arrowok="t" textboxrect="0,0,6164580,20574"/>
                </v:shape>
                <w10:anchorlock/>
              </v:group>
            </w:pict>
          </mc:Fallback>
        </mc:AlternateContent>
      </w:r>
    </w:p>
    <w:p w:rsidR="00120C9F" w:rsidRDefault="00126BBC">
      <w:pPr>
        <w:spacing w:after="0" w:line="259" w:lineRule="auto"/>
        <w:ind w:left="100" w:firstLine="0"/>
      </w:pPr>
      <w:r>
        <w:rPr>
          <w:rFonts w:ascii="Calibri" w:eastAsia="Calibri" w:hAnsi="Calibri" w:cs="Calibri"/>
          <w:sz w:val="20"/>
        </w:rPr>
        <w:t xml:space="preserve"> </w:t>
      </w:r>
    </w:p>
    <w:p w:rsidR="00120C9F" w:rsidRDefault="00126BBC">
      <w:pPr>
        <w:spacing w:after="0" w:line="238" w:lineRule="auto"/>
        <w:ind w:left="232" w:firstLine="0"/>
      </w:pPr>
      <w:r w:rsidRPr="00D016A5">
        <w:rPr>
          <w:sz w:val="22"/>
          <w:u w:val="single"/>
        </w:rPr>
        <w:t>Disclaimer</w:t>
      </w:r>
      <w:r w:rsidR="00D016A5">
        <w:rPr>
          <w:sz w:val="22"/>
        </w:rPr>
        <w:t>:</w:t>
      </w:r>
      <w:r>
        <w:rPr>
          <w:sz w:val="22"/>
        </w:rPr>
        <w:t xml:space="preserve"> The California Department of Insurance is released of responsibility for approved course materials that may have a copyright infringement. In addition, no course approved for either prelicensing or continuing education hours or any designation resulting from completion of such courses should be construed to be endorsed by the Commissioner. </w:t>
      </w:r>
    </w:p>
    <w:p w:rsidR="00D016A5" w:rsidRDefault="00D016A5" w:rsidP="00D016A5">
      <w:pPr>
        <w:spacing w:after="0" w:line="248" w:lineRule="auto"/>
        <w:ind w:left="242" w:right="17"/>
        <w:jc w:val="right"/>
        <w:rPr>
          <w:sz w:val="26"/>
        </w:rPr>
      </w:pPr>
    </w:p>
    <w:p w:rsidR="00120C9F" w:rsidRDefault="00126BBC">
      <w:pPr>
        <w:spacing w:after="0" w:line="248" w:lineRule="auto"/>
        <w:ind w:left="242" w:right="17"/>
      </w:pPr>
      <w:r>
        <w:rPr>
          <w:sz w:val="26"/>
        </w:rPr>
        <w:lastRenderedPageBreak/>
        <w:t xml:space="preserve">Discussion of topics must be handled in a neutral manner. Instructors and these courses may </w:t>
      </w:r>
      <w:r>
        <w:rPr>
          <w:b/>
          <w:i/>
          <w:sz w:val="26"/>
        </w:rPr>
        <w:t>NOT</w:t>
      </w:r>
      <w:r>
        <w:rPr>
          <w:b/>
          <w:sz w:val="26"/>
        </w:rPr>
        <w:t>:</w:t>
      </w:r>
      <w:r>
        <w:rPr>
          <w:sz w:val="26"/>
        </w:rPr>
        <w:t xml:space="preserve"> </w:t>
      </w:r>
    </w:p>
    <w:p w:rsidR="00120C9F" w:rsidRDefault="00126BBC">
      <w:pPr>
        <w:spacing w:after="0" w:line="259" w:lineRule="auto"/>
        <w:ind w:left="100" w:firstLine="0"/>
      </w:pPr>
      <w:r>
        <w:rPr>
          <w:rFonts w:ascii="Calibri" w:eastAsia="Calibri" w:hAnsi="Calibri" w:cs="Calibri"/>
          <w:sz w:val="28"/>
        </w:rPr>
        <w:t xml:space="preserve"> </w:t>
      </w:r>
    </w:p>
    <w:p w:rsidR="00120C9F" w:rsidRDefault="00126BBC">
      <w:pPr>
        <w:numPr>
          <w:ilvl w:val="0"/>
          <w:numId w:val="1"/>
        </w:numPr>
        <w:spacing w:after="0" w:line="248" w:lineRule="auto"/>
        <w:ind w:right="17" w:hanging="348"/>
      </w:pPr>
      <w:r>
        <w:rPr>
          <w:sz w:val="26"/>
        </w:rPr>
        <w:t xml:space="preserve">Use the opportunity to persuade, indoctrinate or enlighten brokers on a particular philosophy or a political or public policy position; </w:t>
      </w:r>
    </w:p>
    <w:p w:rsidR="00120C9F" w:rsidRDefault="00126BBC">
      <w:pPr>
        <w:numPr>
          <w:ilvl w:val="0"/>
          <w:numId w:val="1"/>
        </w:numPr>
        <w:spacing w:after="0" w:line="248" w:lineRule="auto"/>
        <w:ind w:right="17" w:hanging="348"/>
      </w:pPr>
      <w:r>
        <w:rPr>
          <w:sz w:val="26"/>
        </w:rPr>
        <w:t xml:space="preserve">Express or contain opinions about state or federal legislation or forecasting the success or failure of legislation; </w:t>
      </w:r>
    </w:p>
    <w:p w:rsidR="00120C9F" w:rsidRDefault="00126BBC">
      <w:pPr>
        <w:numPr>
          <w:ilvl w:val="0"/>
          <w:numId w:val="1"/>
        </w:numPr>
        <w:spacing w:after="0" w:line="248" w:lineRule="auto"/>
        <w:ind w:right="17" w:hanging="348"/>
      </w:pPr>
      <w:r>
        <w:rPr>
          <w:sz w:val="26"/>
        </w:rPr>
        <w:t xml:space="preserve">Insert or attach </w:t>
      </w:r>
      <w:r>
        <w:rPr>
          <w:b/>
          <w:sz w:val="26"/>
        </w:rPr>
        <w:t>c</w:t>
      </w:r>
      <w:r>
        <w:rPr>
          <w:sz w:val="26"/>
        </w:rPr>
        <w:t xml:space="preserve">opyrighted material without proper references; and </w:t>
      </w:r>
    </w:p>
    <w:p w:rsidR="00120C9F" w:rsidRDefault="00126BBC">
      <w:pPr>
        <w:numPr>
          <w:ilvl w:val="0"/>
          <w:numId w:val="1"/>
        </w:numPr>
        <w:spacing w:after="0" w:line="248" w:lineRule="auto"/>
        <w:ind w:right="17" w:hanging="348"/>
      </w:pPr>
      <w:r>
        <w:rPr>
          <w:sz w:val="26"/>
        </w:rPr>
        <w:t xml:space="preserve">Contain attachments to the course material with information noted in the above bulleted items. </w:t>
      </w:r>
    </w:p>
    <w:p w:rsidR="00120C9F" w:rsidRDefault="00126BBC">
      <w:pPr>
        <w:spacing w:after="0" w:line="259" w:lineRule="auto"/>
        <w:ind w:left="100" w:firstLine="0"/>
      </w:pPr>
      <w:r>
        <w:rPr>
          <w:rFonts w:ascii="Calibri" w:eastAsia="Calibri" w:hAnsi="Calibri" w:cs="Calibri"/>
          <w:sz w:val="28"/>
        </w:rPr>
        <w:t xml:space="preserve"> </w:t>
      </w:r>
    </w:p>
    <w:p w:rsidR="00120C9F" w:rsidRDefault="00126BBC">
      <w:pPr>
        <w:spacing w:after="0" w:line="248" w:lineRule="auto"/>
        <w:ind w:left="242" w:right="17"/>
      </w:pPr>
      <w:r>
        <w:rPr>
          <w:sz w:val="26"/>
        </w:rPr>
        <w:t xml:space="preserve">Absolutely no marketing information may be contained in these courses or distributed to course participants as part of the training. </w:t>
      </w:r>
    </w:p>
    <w:p w:rsidR="00120C9F" w:rsidRDefault="00126BBC">
      <w:pPr>
        <w:spacing w:after="0" w:line="259" w:lineRule="auto"/>
        <w:ind w:left="100" w:firstLine="0"/>
      </w:pPr>
      <w:r>
        <w:rPr>
          <w:rFonts w:ascii="Calibri" w:eastAsia="Calibri" w:hAnsi="Calibri" w:cs="Calibri"/>
          <w:sz w:val="28"/>
        </w:rPr>
        <w:t xml:space="preserve"> </w:t>
      </w:r>
    </w:p>
    <w:p w:rsidR="00120C9F" w:rsidRDefault="00126BBC">
      <w:pPr>
        <w:spacing w:after="0" w:line="248" w:lineRule="auto"/>
        <w:ind w:left="242" w:right="17"/>
      </w:pPr>
      <w:r>
        <w:rPr>
          <w:sz w:val="26"/>
        </w:rPr>
        <w:t xml:space="preserve">Course providers are required to demonstrate the following: </w:t>
      </w:r>
    </w:p>
    <w:p w:rsidR="00120C9F" w:rsidRDefault="00126BBC">
      <w:pPr>
        <w:spacing w:after="0" w:line="259" w:lineRule="auto"/>
        <w:ind w:left="100" w:firstLine="0"/>
      </w:pPr>
      <w:r>
        <w:rPr>
          <w:rFonts w:ascii="Calibri" w:eastAsia="Calibri" w:hAnsi="Calibri" w:cs="Calibri"/>
          <w:sz w:val="28"/>
        </w:rPr>
        <w:t xml:space="preserve"> </w:t>
      </w:r>
    </w:p>
    <w:p w:rsidR="00120C9F" w:rsidRDefault="00126BBC">
      <w:pPr>
        <w:numPr>
          <w:ilvl w:val="0"/>
          <w:numId w:val="1"/>
        </w:numPr>
        <w:spacing w:after="0" w:line="248" w:lineRule="auto"/>
        <w:ind w:right="17" w:hanging="348"/>
      </w:pPr>
      <w:r>
        <w:rPr>
          <w:sz w:val="26"/>
        </w:rPr>
        <w:t xml:space="preserve">Provide a detailed understanding of all the topic areas with how the issues affect the policyholder; </w:t>
      </w:r>
    </w:p>
    <w:p w:rsidR="00120C9F" w:rsidRDefault="00126BBC">
      <w:pPr>
        <w:numPr>
          <w:ilvl w:val="0"/>
          <w:numId w:val="1"/>
        </w:numPr>
        <w:spacing w:after="0" w:line="248" w:lineRule="auto"/>
        <w:ind w:right="17" w:hanging="348"/>
      </w:pPr>
      <w:r>
        <w:rPr>
          <w:sz w:val="26"/>
        </w:rPr>
        <w:t xml:space="preserve">Show continuity of explanations in the course textbook, examples, references, and citations; </w:t>
      </w:r>
    </w:p>
    <w:p w:rsidR="00120C9F" w:rsidRDefault="00126BBC">
      <w:pPr>
        <w:numPr>
          <w:ilvl w:val="0"/>
          <w:numId w:val="1"/>
        </w:numPr>
        <w:spacing w:after="0" w:line="248" w:lineRule="auto"/>
        <w:ind w:right="17" w:hanging="348"/>
      </w:pPr>
      <w:r>
        <w:rPr>
          <w:sz w:val="26"/>
        </w:rPr>
        <w:t xml:space="preserve">Provide easy to read text. Rather than seemingly unrelated pieces of data, the text should have a narrative explanation of why/how parts fit together; </w:t>
      </w:r>
    </w:p>
    <w:p w:rsidR="00120C9F" w:rsidRDefault="00126BBC">
      <w:pPr>
        <w:numPr>
          <w:ilvl w:val="0"/>
          <w:numId w:val="1"/>
        </w:numPr>
        <w:spacing w:after="0" w:line="248" w:lineRule="auto"/>
        <w:ind w:right="17" w:hanging="348"/>
      </w:pPr>
      <w:r>
        <w:rPr>
          <w:sz w:val="26"/>
        </w:rPr>
        <w:t xml:space="preserve">Reach or state conclusions (i.e. why is this topic important and what does it mean for the policyholder); and </w:t>
      </w:r>
    </w:p>
    <w:p w:rsidR="00120C9F" w:rsidRDefault="00126BBC">
      <w:pPr>
        <w:numPr>
          <w:ilvl w:val="0"/>
          <w:numId w:val="1"/>
        </w:numPr>
        <w:spacing w:after="0" w:line="248" w:lineRule="auto"/>
        <w:ind w:right="17" w:hanging="348"/>
      </w:pPr>
      <w:r>
        <w:rPr>
          <w:sz w:val="26"/>
        </w:rPr>
        <w:t xml:space="preserve">Substantiate information contained in the material presented. </w:t>
      </w:r>
    </w:p>
    <w:p w:rsidR="00120C9F" w:rsidRDefault="00126BBC">
      <w:pPr>
        <w:spacing w:after="0" w:line="259" w:lineRule="auto"/>
        <w:ind w:left="100" w:firstLine="0"/>
      </w:pPr>
      <w:r>
        <w:rPr>
          <w:rFonts w:ascii="Calibri" w:eastAsia="Calibri" w:hAnsi="Calibri" w:cs="Calibri"/>
          <w:sz w:val="26"/>
        </w:rPr>
        <w:t xml:space="preserve"> </w:t>
      </w:r>
    </w:p>
    <w:p w:rsidR="00120C9F" w:rsidRDefault="00126BBC">
      <w:pPr>
        <w:spacing w:after="1983" w:line="248" w:lineRule="auto"/>
        <w:ind w:left="242" w:right="17"/>
      </w:pPr>
      <w:r>
        <w:rPr>
          <w:sz w:val="26"/>
        </w:rPr>
        <w:t xml:space="preserve">Courses should be focused on needs of consumers and the problems and solutions associated with life settlements, especially as they affect policyholders. </w:t>
      </w:r>
    </w:p>
    <w:p w:rsidR="00120C9F" w:rsidRDefault="00120C9F">
      <w:pPr>
        <w:spacing w:after="0" w:line="259" w:lineRule="auto"/>
        <w:ind w:left="202" w:right="-11" w:firstLine="0"/>
      </w:pPr>
    </w:p>
    <w:p w:rsidR="00120C9F" w:rsidRDefault="00126BBC">
      <w:pPr>
        <w:spacing w:after="49" w:line="259" w:lineRule="auto"/>
        <w:ind w:left="100" w:firstLine="0"/>
      </w:pPr>
      <w:r>
        <w:rPr>
          <w:rFonts w:ascii="Calibri" w:eastAsia="Calibri" w:hAnsi="Calibri" w:cs="Calibri"/>
          <w:sz w:val="10"/>
        </w:rPr>
        <w:t xml:space="preserve"> </w:t>
      </w:r>
    </w:p>
    <w:p w:rsidR="00120C9F" w:rsidRDefault="00126BBC" w:rsidP="00D016A5">
      <w:pPr>
        <w:spacing w:after="0" w:line="259" w:lineRule="auto"/>
        <w:ind w:left="100" w:firstLine="0"/>
      </w:pPr>
      <w:r>
        <w:rPr>
          <w:rFonts w:ascii="Calibri" w:eastAsia="Calibri" w:hAnsi="Calibri" w:cs="Calibri"/>
          <w:sz w:val="20"/>
        </w:rPr>
        <w:lastRenderedPageBreak/>
        <w:t xml:space="preserve"> </w:t>
      </w:r>
    </w:p>
    <w:p w:rsidR="00D016A5" w:rsidRDefault="00D016A5" w:rsidP="00D016A5">
      <w:pPr>
        <w:spacing w:after="0" w:line="259" w:lineRule="auto"/>
        <w:ind w:left="100" w:firstLine="0"/>
      </w:pPr>
    </w:p>
    <w:p w:rsidR="00120C9F" w:rsidRDefault="00126BBC">
      <w:pPr>
        <w:pStyle w:val="Heading1"/>
        <w:spacing w:line="259" w:lineRule="auto"/>
        <w:ind w:left="202" w:right="0" w:firstLine="0"/>
      </w:pPr>
      <w:r>
        <w:t>TABLE OF CONTENTS</w:t>
      </w:r>
      <w:r>
        <w:rPr>
          <w:b w:val="0"/>
        </w:rPr>
        <w:t xml:space="preserve"> </w:t>
      </w:r>
    </w:p>
    <w:tbl>
      <w:tblPr>
        <w:tblStyle w:val="TableGrid"/>
        <w:tblW w:w="10260" w:type="dxa"/>
        <w:tblInd w:w="52" w:type="dxa"/>
        <w:tblCellMar>
          <w:left w:w="47" w:type="dxa"/>
          <w:right w:w="48" w:type="dxa"/>
        </w:tblCellMar>
        <w:tblLook w:val="04A0" w:firstRow="1" w:lastRow="0" w:firstColumn="1" w:lastColumn="0" w:noHBand="0" w:noVBand="1"/>
      </w:tblPr>
      <w:tblGrid>
        <w:gridCol w:w="1090"/>
        <w:gridCol w:w="4490"/>
        <w:gridCol w:w="1081"/>
        <w:gridCol w:w="234"/>
        <w:gridCol w:w="1745"/>
        <w:gridCol w:w="1620"/>
      </w:tblGrid>
      <w:tr w:rsidR="00120C9F">
        <w:trPr>
          <w:trHeight w:val="621"/>
        </w:trPr>
        <w:tc>
          <w:tcPr>
            <w:tcW w:w="5580" w:type="dxa"/>
            <w:gridSpan w:val="2"/>
            <w:tcBorders>
              <w:top w:val="single" w:sz="5" w:space="0" w:color="000000"/>
              <w:left w:val="single" w:sz="4" w:space="0" w:color="000000"/>
              <w:bottom w:val="single" w:sz="4" w:space="0" w:color="000000"/>
              <w:right w:val="single" w:sz="4" w:space="0" w:color="000000"/>
            </w:tcBorders>
          </w:tcPr>
          <w:p w:rsidR="00120C9F" w:rsidRDefault="00126BBC">
            <w:pPr>
              <w:spacing w:after="152" w:line="259" w:lineRule="auto"/>
              <w:ind w:left="0" w:firstLine="0"/>
            </w:pPr>
            <w:r>
              <w:rPr>
                <w:rFonts w:ascii="Calibri" w:eastAsia="Calibri" w:hAnsi="Calibri" w:cs="Calibri"/>
                <w:sz w:val="10"/>
              </w:rPr>
              <w:t xml:space="preserve"> </w:t>
            </w:r>
          </w:p>
          <w:p w:rsidR="00120C9F" w:rsidRDefault="00126BBC">
            <w:pPr>
              <w:spacing w:after="0" w:line="259" w:lineRule="auto"/>
              <w:ind w:left="0" w:firstLine="0"/>
              <w:jc w:val="center"/>
            </w:pPr>
            <w:r>
              <w:rPr>
                <w:sz w:val="28"/>
              </w:rPr>
              <w:t xml:space="preserve">Topic </w:t>
            </w:r>
          </w:p>
          <w:p w:rsidR="00120C9F" w:rsidRDefault="00126BBC">
            <w:pPr>
              <w:spacing w:after="0" w:line="259" w:lineRule="auto"/>
              <w:ind w:left="0" w:firstLine="0"/>
            </w:pPr>
            <w:r>
              <w:rPr>
                <w:rFonts w:ascii="Calibri" w:eastAsia="Calibri" w:hAnsi="Calibri" w:cs="Calibri"/>
                <w:sz w:val="20"/>
              </w:rPr>
              <w:t xml:space="preserve"> </w:t>
            </w:r>
          </w:p>
        </w:tc>
        <w:tc>
          <w:tcPr>
            <w:tcW w:w="1081" w:type="dxa"/>
            <w:tcBorders>
              <w:top w:val="single" w:sz="5"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right="40" w:firstLine="0"/>
              <w:jc w:val="center"/>
            </w:pPr>
            <w:r>
              <w:rPr>
                <w:sz w:val="28"/>
              </w:rPr>
              <w:t xml:space="preserve">Page </w:t>
            </w:r>
          </w:p>
        </w:tc>
        <w:tc>
          <w:tcPr>
            <w:tcW w:w="234" w:type="dxa"/>
            <w:tcBorders>
              <w:top w:val="single" w:sz="5"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1745" w:type="dxa"/>
            <w:vMerge w:val="restart"/>
            <w:tcBorders>
              <w:top w:val="single" w:sz="5" w:space="0" w:color="000000"/>
              <w:left w:val="single" w:sz="5" w:space="0" w:color="000000"/>
              <w:bottom w:val="single" w:sz="5" w:space="0" w:color="000000"/>
              <w:right w:val="single" w:sz="4" w:space="0" w:color="000000"/>
            </w:tcBorders>
            <w:vAlign w:val="center"/>
          </w:tcPr>
          <w:p w:rsidR="00120C9F" w:rsidRDefault="00126BBC">
            <w:pPr>
              <w:spacing w:after="0" w:line="259" w:lineRule="auto"/>
              <w:ind w:left="284" w:firstLine="0"/>
            </w:pPr>
            <w:r>
              <w:rPr>
                <w:rFonts w:ascii="Calibri" w:eastAsia="Calibri" w:hAnsi="Calibri" w:cs="Calibri"/>
                <w:sz w:val="15"/>
              </w:rPr>
              <w:t xml:space="preserve"> </w:t>
            </w:r>
          </w:p>
          <w:p w:rsidR="00120C9F" w:rsidRDefault="00126BBC">
            <w:pPr>
              <w:spacing w:after="0" w:line="259" w:lineRule="auto"/>
              <w:ind w:left="284" w:firstLine="0"/>
            </w:pPr>
            <w:r>
              <w:rPr>
                <w:rFonts w:ascii="Calibri" w:eastAsia="Calibri" w:hAnsi="Calibri" w:cs="Calibri"/>
                <w:sz w:val="20"/>
              </w:rPr>
              <w:t xml:space="preserve"> </w:t>
            </w:r>
          </w:p>
          <w:p w:rsidR="00120C9F" w:rsidRDefault="00126BBC">
            <w:pPr>
              <w:spacing w:after="0" w:line="259" w:lineRule="auto"/>
              <w:ind w:left="284" w:firstLine="0"/>
            </w:pPr>
            <w:r>
              <w:rPr>
                <w:rFonts w:ascii="Calibri" w:eastAsia="Calibri" w:hAnsi="Calibri" w:cs="Calibri"/>
                <w:sz w:val="20"/>
              </w:rPr>
              <w:t xml:space="preserve"> </w:t>
            </w:r>
          </w:p>
          <w:p w:rsidR="00120C9F" w:rsidRDefault="00126BBC">
            <w:pPr>
              <w:spacing w:after="0" w:line="259" w:lineRule="auto"/>
              <w:ind w:left="284" w:firstLine="0"/>
            </w:pPr>
            <w:r>
              <w:rPr>
                <w:rFonts w:ascii="Calibri" w:eastAsia="Calibri" w:hAnsi="Calibri" w:cs="Calibri"/>
                <w:sz w:val="20"/>
              </w:rPr>
              <w:t xml:space="preserve"> </w:t>
            </w:r>
          </w:p>
          <w:p w:rsidR="00120C9F" w:rsidRDefault="00126BBC">
            <w:pPr>
              <w:spacing w:after="0" w:line="259" w:lineRule="auto"/>
              <w:ind w:left="21" w:firstLine="0"/>
              <w:jc w:val="center"/>
            </w:pPr>
            <w:r>
              <w:rPr>
                <w:b/>
              </w:rPr>
              <w:t xml:space="preserve">Contact </w:t>
            </w:r>
          </w:p>
          <w:p w:rsidR="00120C9F" w:rsidRDefault="00126BBC">
            <w:pPr>
              <w:spacing w:after="0" w:line="259" w:lineRule="auto"/>
              <w:ind w:left="20" w:firstLine="0"/>
              <w:jc w:val="center"/>
            </w:pPr>
            <w:r>
              <w:rPr>
                <w:b/>
              </w:rPr>
              <w:t xml:space="preserve">Course </w:t>
            </w:r>
          </w:p>
          <w:p w:rsidR="00120C9F" w:rsidRDefault="00126BBC">
            <w:pPr>
              <w:spacing w:after="0" w:line="259" w:lineRule="auto"/>
              <w:ind w:left="295" w:firstLine="0"/>
            </w:pPr>
            <w:r>
              <w:rPr>
                <w:b/>
              </w:rPr>
              <w:t>(Minutes)</w:t>
            </w:r>
            <w:r>
              <w:rPr>
                <w:b/>
                <w:vertAlign w:val="superscript"/>
              </w:rPr>
              <w:footnoteReference w:id="1"/>
            </w:r>
            <w:r>
              <w:rPr>
                <w:vertAlign w:val="subscript"/>
              </w:rPr>
              <w:t xml:space="preserve"> </w:t>
            </w:r>
          </w:p>
        </w:tc>
        <w:tc>
          <w:tcPr>
            <w:tcW w:w="1620" w:type="dxa"/>
            <w:vMerge w:val="restart"/>
            <w:tcBorders>
              <w:top w:val="single" w:sz="5" w:space="0" w:color="000000"/>
              <w:left w:val="single" w:sz="4" w:space="0" w:color="000000"/>
              <w:bottom w:val="single" w:sz="5" w:space="0" w:color="000000"/>
              <w:right w:val="single" w:sz="4" w:space="0" w:color="000000"/>
            </w:tcBorders>
            <w:vAlign w:val="center"/>
          </w:tcPr>
          <w:p w:rsidR="00120C9F" w:rsidRDefault="00126BBC">
            <w:pPr>
              <w:spacing w:after="0" w:line="259" w:lineRule="auto"/>
              <w:ind w:left="102" w:firstLine="0"/>
            </w:pPr>
            <w:r>
              <w:rPr>
                <w:rFonts w:ascii="Calibri" w:eastAsia="Calibri" w:hAnsi="Calibri" w:cs="Calibri"/>
                <w:sz w:val="15"/>
              </w:rPr>
              <w:t xml:space="preserve"> </w:t>
            </w:r>
          </w:p>
          <w:p w:rsidR="00120C9F" w:rsidRDefault="00126BBC">
            <w:pPr>
              <w:spacing w:after="0" w:line="259" w:lineRule="auto"/>
              <w:ind w:left="102" w:firstLine="0"/>
            </w:pPr>
            <w:r>
              <w:rPr>
                <w:rFonts w:ascii="Calibri" w:eastAsia="Calibri" w:hAnsi="Calibri" w:cs="Calibri"/>
                <w:sz w:val="20"/>
              </w:rPr>
              <w:t xml:space="preserve"> </w:t>
            </w:r>
          </w:p>
          <w:p w:rsidR="00120C9F" w:rsidRDefault="00126BBC">
            <w:pPr>
              <w:spacing w:after="0" w:line="259" w:lineRule="auto"/>
              <w:ind w:left="102" w:firstLine="0"/>
            </w:pPr>
            <w:r>
              <w:rPr>
                <w:rFonts w:ascii="Calibri" w:eastAsia="Calibri" w:hAnsi="Calibri" w:cs="Calibri"/>
                <w:sz w:val="20"/>
              </w:rPr>
              <w:t xml:space="preserve"> </w:t>
            </w:r>
          </w:p>
          <w:p w:rsidR="00120C9F" w:rsidRDefault="00126BBC">
            <w:pPr>
              <w:spacing w:after="0" w:line="259" w:lineRule="auto"/>
              <w:ind w:left="102" w:firstLine="0"/>
            </w:pPr>
            <w:r>
              <w:rPr>
                <w:rFonts w:ascii="Calibri" w:eastAsia="Calibri" w:hAnsi="Calibri" w:cs="Calibri"/>
                <w:sz w:val="20"/>
              </w:rPr>
              <w:t xml:space="preserve"> </w:t>
            </w:r>
          </w:p>
          <w:p w:rsidR="00120C9F" w:rsidRDefault="00126BBC">
            <w:pPr>
              <w:spacing w:after="0" w:line="259" w:lineRule="auto"/>
              <w:ind w:left="113" w:firstLine="0"/>
            </w:pPr>
            <w:r>
              <w:rPr>
                <w:b/>
              </w:rPr>
              <w:t xml:space="preserve">Non-Contact </w:t>
            </w:r>
          </w:p>
          <w:p w:rsidR="00120C9F" w:rsidRDefault="00126BBC">
            <w:pPr>
              <w:spacing w:after="0" w:line="259" w:lineRule="auto"/>
              <w:ind w:left="20" w:firstLine="0"/>
              <w:jc w:val="center"/>
            </w:pPr>
            <w:r>
              <w:rPr>
                <w:b/>
              </w:rPr>
              <w:t xml:space="preserve">Course </w:t>
            </w:r>
          </w:p>
          <w:p w:rsidR="00120C9F" w:rsidRDefault="00126BBC">
            <w:pPr>
              <w:spacing w:after="0" w:line="259" w:lineRule="auto"/>
              <w:ind w:left="21" w:firstLine="0"/>
              <w:jc w:val="center"/>
            </w:pPr>
            <w:r>
              <w:rPr>
                <w:b/>
              </w:rPr>
              <w:t>(Pages)</w:t>
            </w:r>
            <w:r>
              <w:rPr>
                <w:b/>
                <w:vertAlign w:val="superscript"/>
              </w:rPr>
              <w:footnoteReference w:id="2"/>
            </w:r>
            <w:r>
              <w:rPr>
                <w:vertAlign w:val="subscript"/>
              </w:rPr>
              <w:t xml:space="preserve"> </w:t>
            </w:r>
          </w:p>
        </w:tc>
      </w:tr>
      <w:tr w:rsidR="00120C9F">
        <w:trPr>
          <w:trHeight w:val="386"/>
        </w:trPr>
        <w:tc>
          <w:tcPr>
            <w:tcW w:w="5580" w:type="dxa"/>
            <w:gridSpan w:val="2"/>
            <w:tcBorders>
              <w:top w:val="single" w:sz="4" w:space="0" w:color="000000"/>
              <w:left w:val="single" w:sz="4" w:space="0" w:color="000000"/>
              <w:bottom w:val="single" w:sz="5" w:space="0" w:color="000000"/>
              <w:right w:val="single" w:sz="4" w:space="0" w:color="000000"/>
            </w:tcBorders>
          </w:tcPr>
          <w:p w:rsidR="00120C9F" w:rsidRDefault="00126BBC">
            <w:pPr>
              <w:spacing w:after="0" w:line="259" w:lineRule="auto"/>
              <w:ind w:left="312" w:firstLine="0"/>
            </w:pPr>
            <w:r>
              <w:t xml:space="preserve">Overview </w:t>
            </w:r>
          </w:p>
        </w:tc>
        <w:tc>
          <w:tcPr>
            <w:tcW w:w="1081" w:type="dxa"/>
            <w:tcBorders>
              <w:top w:val="single" w:sz="4" w:space="0" w:color="000000"/>
              <w:left w:val="single" w:sz="4" w:space="0" w:color="000000"/>
              <w:bottom w:val="single" w:sz="5" w:space="0" w:color="000000"/>
              <w:right w:val="single" w:sz="4" w:space="0" w:color="000000"/>
            </w:tcBorders>
          </w:tcPr>
          <w:p w:rsidR="00120C9F" w:rsidRDefault="00126BBC">
            <w:pPr>
              <w:spacing w:after="0" w:line="259" w:lineRule="auto"/>
              <w:ind w:left="0" w:right="25" w:firstLine="0"/>
              <w:jc w:val="center"/>
            </w:pPr>
            <w:r>
              <w:t xml:space="preserve">1 </w:t>
            </w:r>
          </w:p>
        </w:tc>
        <w:tc>
          <w:tcPr>
            <w:tcW w:w="234" w:type="dxa"/>
            <w:tcBorders>
              <w:top w:val="single" w:sz="4" w:space="0" w:color="000000"/>
              <w:left w:val="single" w:sz="4" w:space="0" w:color="000000"/>
              <w:bottom w:val="single" w:sz="5" w:space="0" w:color="000000"/>
              <w:right w:val="single" w:sz="5" w:space="0" w:color="000000"/>
            </w:tcBorders>
            <w:shd w:val="clear" w:color="auto" w:fill="CCCCCC"/>
          </w:tcPr>
          <w:p w:rsidR="00120C9F" w:rsidRDefault="00120C9F">
            <w:pPr>
              <w:spacing w:after="160" w:line="259" w:lineRule="auto"/>
              <w:ind w:left="0" w:firstLine="0"/>
            </w:pPr>
          </w:p>
        </w:tc>
        <w:tc>
          <w:tcPr>
            <w:tcW w:w="0" w:type="auto"/>
            <w:vMerge/>
            <w:tcBorders>
              <w:top w:val="nil"/>
              <w:left w:val="single" w:sz="5" w:space="0" w:color="000000"/>
              <w:bottom w:val="nil"/>
              <w:right w:val="single" w:sz="4" w:space="0" w:color="000000"/>
            </w:tcBorders>
          </w:tcPr>
          <w:p w:rsidR="00120C9F" w:rsidRDefault="00120C9F">
            <w:pPr>
              <w:spacing w:after="160" w:line="259" w:lineRule="auto"/>
              <w:ind w:left="0" w:firstLine="0"/>
            </w:pPr>
          </w:p>
        </w:tc>
        <w:tc>
          <w:tcPr>
            <w:tcW w:w="0" w:type="auto"/>
            <w:vMerge/>
            <w:tcBorders>
              <w:top w:val="nil"/>
              <w:left w:val="single" w:sz="4" w:space="0" w:color="000000"/>
              <w:bottom w:val="nil"/>
              <w:right w:val="single" w:sz="4" w:space="0" w:color="000000"/>
            </w:tcBorders>
          </w:tcPr>
          <w:p w:rsidR="00120C9F" w:rsidRDefault="00120C9F">
            <w:pPr>
              <w:spacing w:after="160" w:line="259" w:lineRule="auto"/>
              <w:ind w:left="0" w:firstLine="0"/>
            </w:pPr>
          </w:p>
        </w:tc>
      </w:tr>
      <w:tr w:rsidR="00120C9F">
        <w:trPr>
          <w:trHeight w:val="388"/>
        </w:trPr>
        <w:tc>
          <w:tcPr>
            <w:tcW w:w="5580" w:type="dxa"/>
            <w:gridSpan w:val="2"/>
            <w:tcBorders>
              <w:top w:val="single" w:sz="5" w:space="0" w:color="000000"/>
              <w:left w:val="single" w:sz="4" w:space="0" w:color="000000"/>
              <w:bottom w:val="single" w:sz="4" w:space="0" w:color="000000"/>
              <w:right w:val="single" w:sz="4" w:space="0" w:color="000000"/>
            </w:tcBorders>
          </w:tcPr>
          <w:p w:rsidR="00120C9F" w:rsidRDefault="00126BBC">
            <w:pPr>
              <w:spacing w:after="0" w:line="259" w:lineRule="auto"/>
              <w:ind w:left="312" w:firstLine="0"/>
            </w:pPr>
            <w:r>
              <w:t xml:space="preserve">Curriculum Objectives - Training Goals </w:t>
            </w:r>
          </w:p>
        </w:tc>
        <w:tc>
          <w:tcPr>
            <w:tcW w:w="1081" w:type="dxa"/>
            <w:tcBorders>
              <w:top w:val="single" w:sz="5" w:space="0" w:color="000000"/>
              <w:left w:val="single" w:sz="4" w:space="0" w:color="000000"/>
              <w:bottom w:val="single" w:sz="4" w:space="0" w:color="000000"/>
              <w:right w:val="single" w:sz="4" w:space="0" w:color="000000"/>
            </w:tcBorders>
          </w:tcPr>
          <w:p w:rsidR="00120C9F" w:rsidRDefault="00126BBC">
            <w:pPr>
              <w:spacing w:after="0" w:line="259" w:lineRule="auto"/>
              <w:ind w:left="0" w:right="25" w:firstLine="0"/>
              <w:jc w:val="center"/>
            </w:pPr>
            <w:r>
              <w:t xml:space="preserve">1 </w:t>
            </w:r>
          </w:p>
        </w:tc>
        <w:tc>
          <w:tcPr>
            <w:tcW w:w="234" w:type="dxa"/>
            <w:tcBorders>
              <w:top w:val="single" w:sz="5"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0" w:type="auto"/>
            <w:vMerge/>
            <w:tcBorders>
              <w:top w:val="nil"/>
              <w:left w:val="single" w:sz="5" w:space="0" w:color="000000"/>
              <w:bottom w:val="nil"/>
              <w:right w:val="single" w:sz="4" w:space="0" w:color="000000"/>
            </w:tcBorders>
          </w:tcPr>
          <w:p w:rsidR="00120C9F" w:rsidRDefault="00120C9F">
            <w:pPr>
              <w:spacing w:after="160" w:line="259" w:lineRule="auto"/>
              <w:ind w:left="0" w:firstLine="0"/>
            </w:pPr>
          </w:p>
        </w:tc>
        <w:tc>
          <w:tcPr>
            <w:tcW w:w="0" w:type="auto"/>
            <w:vMerge/>
            <w:tcBorders>
              <w:top w:val="nil"/>
              <w:left w:val="single" w:sz="4" w:space="0" w:color="000000"/>
              <w:bottom w:val="nil"/>
              <w:right w:val="single" w:sz="4" w:space="0" w:color="000000"/>
            </w:tcBorders>
          </w:tcPr>
          <w:p w:rsidR="00120C9F" w:rsidRDefault="00120C9F">
            <w:pPr>
              <w:spacing w:after="160" w:line="259" w:lineRule="auto"/>
              <w:ind w:left="0" w:firstLine="0"/>
            </w:pPr>
          </w:p>
        </w:tc>
      </w:tr>
      <w:tr w:rsidR="00120C9F">
        <w:trPr>
          <w:trHeight w:val="386"/>
        </w:trPr>
        <w:tc>
          <w:tcPr>
            <w:tcW w:w="5580" w:type="dxa"/>
            <w:gridSpan w:val="2"/>
            <w:tcBorders>
              <w:top w:val="single" w:sz="4" w:space="0" w:color="000000"/>
              <w:left w:val="single" w:sz="4" w:space="0" w:color="000000"/>
              <w:bottom w:val="single" w:sz="5" w:space="0" w:color="000000"/>
              <w:right w:val="single" w:sz="4" w:space="0" w:color="000000"/>
            </w:tcBorders>
          </w:tcPr>
          <w:p w:rsidR="00120C9F" w:rsidRDefault="00126BBC">
            <w:pPr>
              <w:spacing w:after="0" w:line="259" w:lineRule="auto"/>
              <w:ind w:left="312" w:firstLine="0"/>
            </w:pPr>
            <w:r>
              <w:t xml:space="preserve">Table of Contents </w:t>
            </w:r>
          </w:p>
        </w:tc>
        <w:tc>
          <w:tcPr>
            <w:tcW w:w="1081" w:type="dxa"/>
            <w:tcBorders>
              <w:top w:val="single" w:sz="4" w:space="0" w:color="000000"/>
              <w:left w:val="single" w:sz="4" w:space="0" w:color="000000"/>
              <w:bottom w:val="single" w:sz="5" w:space="0" w:color="000000"/>
              <w:right w:val="single" w:sz="4" w:space="0" w:color="000000"/>
            </w:tcBorders>
          </w:tcPr>
          <w:p w:rsidR="00120C9F" w:rsidRDefault="00126BBC">
            <w:pPr>
              <w:spacing w:after="0" w:line="259" w:lineRule="auto"/>
              <w:ind w:left="0" w:right="25" w:firstLine="0"/>
              <w:jc w:val="center"/>
            </w:pPr>
            <w:r>
              <w:t xml:space="preserve">3 </w:t>
            </w:r>
          </w:p>
        </w:tc>
        <w:tc>
          <w:tcPr>
            <w:tcW w:w="234" w:type="dxa"/>
            <w:tcBorders>
              <w:top w:val="single" w:sz="4" w:space="0" w:color="000000"/>
              <w:left w:val="single" w:sz="4" w:space="0" w:color="000000"/>
              <w:bottom w:val="single" w:sz="5" w:space="0" w:color="000000"/>
              <w:right w:val="single" w:sz="5" w:space="0" w:color="000000"/>
            </w:tcBorders>
            <w:shd w:val="clear" w:color="auto" w:fill="CCCCCC"/>
          </w:tcPr>
          <w:p w:rsidR="00120C9F" w:rsidRDefault="00120C9F">
            <w:pPr>
              <w:spacing w:after="160" w:line="259" w:lineRule="auto"/>
              <w:ind w:left="0" w:firstLine="0"/>
            </w:pPr>
          </w:p>
        </w:tc>
        <w:tc>
          <w:tcPr>
            <w:tcW w:w="0" w:type="auto"/>
            <w:vMerge/>
            <w:tcBorders>
              <w:top w:val="nil"/>
              <w:left w:val="single" w:sz="5" w:space="0" w:color="000000"/>
              <w:bottom w:val="nil"/>
              <w:right w:val="single" w:sz="4" w:space="0" w:color="000000"/>
            </w:tcBorders>
          </w:tcPr>
          <w:p w:rsidR="00120C9F" w:rsidRDefault="00120C9F">
            <w:pPr>
              <w:spacing w:after="160" w:line="259" w:lineRule="auto"/>
              <w:ind w:left="0" w:firstLine="0"/>
            </w:pPr>
          </w:p>
        </w:tc>
        <w:tc>
          <w:tcPr>
            <w:tcW w:w="0" w:type="auto"/>
            <w:vMerge/>
            <w:tcBorders>
              <w:top w:val="nil"/>
              <w:left w:val="single" w:sz="4" w:space="0" w:color="000000"/>
              <w:bottom w:val="nil"/>
              <w:right w:val="single" w:sz="4" w:space="0" w:color="000000"/>
            </w:tcBorders>
          </w:tcPr>
          <w:p w:rsidR="00120C9F" w:rsidRDefault="00120C9F">
            <w:pPr>
              <w:spacing w:after="160" w:line="259" w:lineRule="auto"/>
              <w:ind w:left="0" w:firstLine="0"/>
            </w:pPr>
          </w:p>
        </w:tc>
      </w:tr>
      <w:tr w:rsidR="00120C9F">
        <w:trPr>
          <w:trHeight w:val="388"/>
        </w:trPr>
        <w:tc>
          <w:tcPr>
            <w:tcW w:w="5580" w:type="dxa"/>
            <w:gridSpan w:val="2"/>
            <w:tcBorders>
              <w:top w:val="single" w:sz="5" w:space="0" w:color="000000"/>
              <w:left w:val="single" w:sz="4" w:space="0" w:color="000000"/>
              <w:bottom w:val="single" w:sz="4" w:space="0" w:color="000000"/>
              <w:right w:val="single" w:sz="4" w:space="0" w:color="000000"/>
            </w:tcBorders>
          </w:tcPr>
          <w:p w:rsidR="00120C9F" w:rsidRDefault="00126BBC">
            <w:pPr>
              <w:spacing w:after="0" w:line="259" w:lineRule="auto"/>
              <w:ind w:left="312" w:firstLine="0"/>
            </w:pPr>
            <w:r>
              <w:t xml:space="preserve">Background </w:t>
            </w:r>
          </w:p>
        </w:tc>
        <w:tc>
          <w:tcPr>
            <w:tcW w:w="1081" w:type="dxa"/>
            <w:tcBorders>
              <w:top w:val="single" w:sz="5" w:space="0" w:color="000000"/>
              <w:left w:val="single" w:sz="4" w:space="0" w:color="000000"/>
              <w:bottom w:val="single" w:sz="4" w:space="0" w:color="000000"/>
              <w:right w:val="single" w:sz="4" w:space="0" w:color="000000"/>
            </w:tcBorders>
          </w:tcPr>
          <w:p w:rsidR="00120C9F" w:rsidRDefault="00126BBC">
            <w:pPr>
              <w:spacing w:after="0" w:line="259" w:lineRule="auto"/>
              <w:ind w:left="0" w:right="25" w:firstLine="0"/>
              <w:jc w:val="center"/>
            </w:pPr>
            <w:r>
              <w:t xml:space="preserve">4 </w:t>
            </w:r>
          </w:p>
        </w:tc>
        <w:tc>
          <w:tcPr>
            <w:tcW w:w="234" w:type="dxa"/>
            <w:tcBorders>
              <w:top w:val="single" w:sz="5" w:space="0" w:color="000000"/>
              <w:left w:val="single" w:sz="4" w:space="0" w:color="000000"/>
              <w:bottom w:val="single" w:sz="4" w:space="0" w:color="000000"/>
              <w:right w:val="single" w:sz="5" w:space="0" w:color="000000"/>
            </w:tcBorders>
            <w:shd w:val="clear" w:color="auto" w:fill="CCCCCC"/>
            <w:vAlign w:val="center"/>
          </w:tcPr>
          <w:p w:rsidR="00120C9F" w:rsidRDefault="00120C9F">
            <w:pPr>
              <w:spacing w:after="160" w:line="259" w:lineRule="auto"/>
              <w:ind w:left="0" w:firstLine="0"/>
            </w:pPr>
          </w:p>
        </w:tc>
        <w:tc>
          <w:tcPr>
            <w:tcW w:w="0" w:type="auto"/>
            <w:vMerge/>
            <w:tcBorders>
              <w:top w:val="nil"/>
              <w:left w:val="single" w:sz="5" w:space="0" w:color="000000"/>
              <w:bottom w:val="nil"/>
              <w:right w:val="single" w:sz="4" w:space="0" w:color="000000"/>
            </w:tcBorders>
          </w:tcPr>
          <w:p w:rsidR="00120C9F" w:rsidRDefault="00120C9F">
            <w:pPr>
              <w:spacing w:after="160" w:line="259" w:lineRule="auto"/>
              <w:ind w:left="0" w:firstLine="0"/>
            </w:pPr>
          </w:p>
        </w:tc>
        <w:tc>
          <w:tcPr>
            <w:tcW w:w="0" w:type="auto"/>
            <w:vMerge/>
            <w:tcBorders>
              <w:top w:val="nil"/>
              <w:left w:val="single" w:sz="4" w:space="0" w:color="000000"/>
              <w:bottom w:val="nil"/>
              <w:right w:val="single" w:sz="4" w:space="0" w:color="000000"/>
            </w:tcBorders>
          </w:tcPr>
          <w:p w:rsidR="00120C9F" w:rsidRDefault="00120C9F">
            <w:pPr>
              <w:spacing w:after="160" w:line="259" w:lineRule="auto"/>
              <w:ind w:left="0" w:firstLine="0"/>
            </w:pPr>
          </w:p>
        </w:tc>
      </w:tr>
      <w:tr w:rsidR="00120C9F">
        <w:trPr>
          <w:trHeight w:val="584"/>
        </w:trPr>
        <w:tc>
          <w:tcPr>
            <w:tcW w:w="5580" w:type="dxa"/>
            <w:gridSpan w:val="2"/>
            <w:tcBorders>
              <w:top w:val="single" w:sz="4" w:space="0" w:color="000000"/>
              <w:left w:val="single" w:sz="4" w:space="0" w:color="000000"/>
              <w:bottom w:val="single" w:sz="5" w:space="0" w:color="000000"/>
              <w:right w:val="single" w:sz="4" w:space="0" w:color="000000"/>
            </w:tcBorders>
          </w:tcPr>
          <w:p w:rsidR="00120C9F" w:rsidRDefault="00126BBC">
            <w:pPr>
              <w:spacing w:after="58" w:line="259" w:lineRule="auto"/>
              <w:ind w:left="0" w:firstLine="0"/>
            </w:pPr>
            <w:r>
              <w:rPr>
                <w:rFonts w:ascii="Calibri" w:eastAsia="Calibri" w:hAnsi="Calibri" w:cs="Calibri"/>
                <w:sz w:val="15"/>
              </w:rPr>
              <w:t xml:space="preserve"> </w:t>
            </w:r>
          </w:p>
          <w:p w:rsidR="00120C9F" w:rsidRDefault="00126BBC">
            <w:pPr>
              <w:spacing w:after="0" w:line="259" w:lineRule="auto"/>
              <w:ind w:left="312" w:firstLine="0"/>
            </w:pPr>
            <w:r>
              <w:t xml:space="preserve">Life Settlement Broker License Training Outline </w:t>
            </w:r>
          </w:p>
          <w:p w:rsidR="00120C9F" w:rsidRDefault="00126BBC">
            <w:pPr>
              <w:spacing w:after="0" w:line="259" w:lineRule="auto"/>
              <w:ind w:left="0" w:firstLine="0"/>
            </w:pPr>
            <w:r>
              <w:rPr>
                <w:rFonts w:ascii="Calibri" w:eastAsia="Calibri" w:hAnsi="Calibri" w:cs="Calibri"/>
                <w:sz w:val="26"/>
              </w:rPr>
              <w:t xml:space="preserve"> </w:t>
            </w:r>
          </w:p>
        </w:tc>
        <w:tc>
          <w:tcPr>
            <w:tcW w:w="1081" w:type="dxa"/>
            <w:tcBorders>
              <w:top w:val="single" w:sz="4" w:space="0" w:color="000000"/>
              <w:left w:val="single" w:sz="4" w:space="0" w:color="000000"/>
              <w:bottom w:val="single" w:sz="5" w:space="0" w:color="000000"/>
              <w:right w:val="single" w:sz="4" w:space="0" w:color="000000"/>
            </w:tcBorders>
          </w:tcPr>
          <w:p w:rsidR="00120C9F" w:rsidRDefault="00126BBC">
            <w:pPr>
              <w:spacing w:after="0" w:line="259" w:lineRule="auto"/>
              <w:ind w:left="0" w:right="23" w:firstLine="0"/>
              <w:jc w:val="center"/>
            </w:pPr>
            <w:r>
              <w:t xml:space="preserve">5 </w:t>
            </w:r>
          </w:p>
        </w:tc>
        <w:tc>
          <w:tcPr>
            <w:tcW w:w="234" w:type="dxa"/>
            <w:tcBorders>
              <w:top w:val="single" w:sz="4" w:space="0" w:color="000000"/>
              <w:left w:val="single" w:sz="4" w:space="0" w:color="000000"/>
              <w:bottom w:val="single" w:sz="5" w:space="0" w:color="000000"/>
              <w:right w:val="single" w:sz="5" w:space="0" w:color="000000"/>
            </w:tcBorders>
            <w:shd w:val="clear" w:color="auto" w:fill="CCCCCC"/>
          </w:tcPr>
          <w:p w:rsidR="00120C9F" w:rsidRDefault="00120C9F">
            <w:pPr>
              <w:spacing w:after="160" w:line="259" w:lineRule="auto"/>
              <w:ind w:left="0" w:firstLine="0"/>
            </w:pPr>
          </w:p>
        </w:tc>
        <w:tc>
          <w:tcPr>
            <w:tcW w:w="0" w:type="auto"/>
            <w:vMerge/>
            <w:tcBorders>
              <w:top w:val="nil"/>
              <w:left w:val="single" w:sz="5" w:space="0" w:color="000000"/>
              <w:bottom w:val="single" w:sz="5" w:space="0" w:color="000000"/>
              <w:right w:val="single" w:sz="4" w:space="0" w:color="000000"/>
            </w:tcBorders>
          </w:tcPr>
          <w:p w:rsidR="00120C9F" w:rsidRDefault="00120C9F">
            <w:pPr>
              <w:spacing w:after="160" w:line="259" w:lineRule="auto"/>
              <w:ind w:left="0" w:firstLine="0"/>
            </w:pPr>
          </w:p>
        </w:tc>
        <w:tc>
          <w:tcPr>
            <w:tcW w:w="0" w:type="auto"/>
            <w:vMerge/>
            <w:tcBorders>
              <w:top w:val="nil"/>
              <w:left w:val="single" w:sz="4" w:space="0" w:color="000000"/>
              <w:bottom w:val="single" w:sz="5" w:space="0" w:color="000000"/>
              <w:right w:val="single" w:sz="4" w:space="0" w:color="000000"/>
            </w:tcBorders>
          </w:tcPr>
          <w:p w:rsidR="00120C9F" w:rsidRDefault="00120C9F">
            <w:pPr>
              <w:spacing w:after="160" w:line="259" w:lineRule="auto"/>
              <w:ind w:left="0" w:firstLine="0"/>
            </w:pPr>
          </w:p>
        </w:tc>
      </w:tr>
      <w:tr w:rsidR="00120C9F">
        <w:trPr>
          <w:trHeight w:val="540"/>
        </w:trPr>
        <w:tc>
          <w:tcPr>
            <w:tcW w:w="1090" w:type="dxa"/>
            <w:tcBorders>
              <w:top w:val="single" w:sz="5" w:space="0" w:color="000000"/>
              <w:left w:val="single" w:sz="4" w:space="0" w:color="000000"/>
              <w:bottom w:val="single" w:sz="5" w:space="0" w:color="000000"/>
              <w:right w:val="single" w:sz="5" w:space="0" w:color="000000"/>
            </w:tcBorders>
            <w:vAlign w:val="bottom"/>
          </w:tcPr>
          <w:p w:rsidR="00120C9F" w:rsidRDefault="00126BBC">
            <w:pPr>
              <w:spacing w:after="0" w:line="259" w:lineRule="auto"/>
              <w:ind w:left="0" w:right="1" w:firstLine="793"/>
            </w:pPr>
            <w:r>
              <w:t xml:space="preserve">I. </w:t>
            </w:r>
            <w:r>
              <w:rPr>
                <w:rFonts w:ascii="Calibri" w:eastAsia="Calibri" w:hAnsi="Calibri" w:cs="Calibri"/>
              </w:rPr>
              <w:t xml:space="preserve"> </w:t>
            </w:r>
          </w:p>
        </w:tc>
        <w:tc>
          <w:tcPr>
            <w:tcW w:w="4490" w:type="dxa"/>
            <w:tcBorders>
              <w:top w:val="single" w:sz="5" w:space="0" w:color="000000"/>
              <w:left w:val="single" w:sz="5" w:space="0" w:color="000000"/>
              <w:bottom w:val="single" w:sz="5" w:space="0" w:color="000000"/>
              <w:right w:val="single" w:sz="4" w:space="0" w:color="000000"/>
            </w:tcBorders>
          </w:tcPr>
          <w:p w:rsidR="00120C9F" w:rsidRDefault="00126BBC">
            <w:pPr>
              <w:spacing w:after="0" w:line="259" w:lineRule="auto"/>
              <w:ind w:left="49" w:firstLine="0"/>
            </w:pPr>
            <w:r>
              <w:t xml:space="preserve">Introduction to Life Settlements </w:t>
            </w:r>
          </w:p>
        </w:tc>
        <w:tc>
          <w:tcPr>
            <w:tcW w:w="1081" w:type="dxa"/>
            <w:tcBorders>
              <w:top w:val="single" w:sz="5" w:space="0" w:color="000000"/>
              <w:left w:val="single" w:sz="4" w:space="0" w:color="000000"/>
              <w:bottom w:val="single" w:sz="5" w:space="0" w:color="000000"/>
              <w:right w:val="single" w:sz="4" w:space="0" w:color="000000"/>
            </w:tcBorders>
          </w:tcPr>
          <w:p w:rsidR="00120C9F" w:rsidRDefault="00126BBC">
            <w:pPr>
              <w:spacing w:after="0" w:line="259" w:lineRule="auto"/>
              <w:ind w:left="0" w:right="27" w:firstLine="0"/>
              <w:jc w:val="center"/>
            </w:pPr>
            <w:r>
              <w:t xml:space="preserve">5 </w:t>
            </w:r>
          </w:p>
        </w:tc>
        <w:tc>
          <w:tcPr>
            <w:tcW w:w="234" w:type="dxa"/>
            <w:tcBorders>
              <w:top w:val="single" w:sz="5" w:space="0" w:color="000000"/>
              <w:left w:val="single" w:sz="4" w:space="0" w:color="000000"/>
              <w:bottom w:val="single" w:sz="5"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5" w:space="0" w:color="000000"/>
              <w:left w:val="single" w:sz="5" w:space="0" w:color="000000"/>
              <w:bottom w:val="single" w:sz="5" w:space="0" w:color="000000"/>
              <w:right w:val="single" w:sz="4" w:space="0" w:color="000000"/>
            </w:tcBorders>
          </w:tcPr>
          <w:p w:rsidR="00120C9F" w:rsidRDefault="00126BBC">
            <w:pPr>
              <w:spacing w:after="0" w:line="259" w:lineRule="auto"/>
              <w:ind w:left="0" w:right="40" w:firstLine="0"/>
              <w:jc w:val="center"/>
            </w:pPr>
            <w:r>
              <w:t xml:space="preserve">60 </w:t>
            </w:r>
          </w:p>
        </w:tc>
        <w:tc>
          <w:tcPr>
            <w:tcW w:w="1620" w:type="dxa"/>
            <w:tcBorders>
              <w:top w:val="single" w:sz="5" w:space="0" w:color="000000"/>
              <w:left w:val="single" w:sz="4" w:space="0" w:color="000000"/>
              <w:bottom w:val="single" w:sz="5" w:space="0" w:color="000000"/>
              <w:right w:val="single" w:sz="4" w:space="0" w:color="000000"/>
            </w:tcBorders>
          </w:tcPr>
          <w:p w:rsidR="00120C9F" w:rsidRDefault="00126BBC">
            <w:pPr>
              <w:spacing w:after="0" w:line="259" w:lineRule="auto"/>
              <w:ind w:left="0" w:right="6" w:firstLine="0"/>
              <w:jc w:val="center"/>
            </w:pPr>
            <w:r>
              <w:t xml:space="preserve">11 </w:t>
            </w:r>
          </w:p>
        </w:tc>
      </w:tr>
      <w:tr w:rsidR="00120C9F">
        <w:trPr>
          <w:trHeight w:val="514"/>
        </w:trPr>
        <w:tc>
          <w:tcPr>
            <w:tcW w:w="1090" w:type="dxa"/>
            <w:tcBorders>
              <w:top w:val="single" w:sz="5" w:space="0" w:color="000000"/>
              <w:left w:val="single" w:sz="4" w:space="0" w:color="000000"/>
              <w:bottom w:val="single" w:sz="4" w:space="0" w:color="000000"/>
              <w:right w:val="single" w:sz="5" w:space="0" w:color="000000"/>
            </w:tcBorders>
            <w:vAlign w:val="bottom"/>
          </w:tcPr>
          <w:p w:rsidR="00120C9F" w:rsidRDefault="00126BBC">
            <w:pPr>
              <w:spacing w:after="0" w:line="259" w:lineRule="auto"/>
              <w:ind w:left="0" w:right="62" w:firstLine="0"/>
              <w:jc w:val="right"/>
            </w:pPr>
            <w:r>
              <w:t xml:space="preserve">II. </w:t>
            </w:r>
          </w:p>
          <w:p w:rsidR="00120C9F" w:rsidRDefault="00126BBC">
            <w:pPr>
              <w:spacing w:after="0" w:line="259" w:lineRule="auto"/>
              <w:ind w:left="0" w:firstLine="0"/>
            </w:pPr>
            <w:r>
              <w:rPr>
                <w:rFonts w:ascii="Calibri" w:eastAsia="Calibri" w:hAnsi="Calibri" w:cs="Calibri"/>
                <w:sz w:val="22"/>
              </w:rPr>
              <w:t xml:space="preserve"> </w:t>
            </w:r>
          </w:p>
        </w:tc>
        <w:tc>
          <w:tcPr>
            <w:tcW w:w="4490" w:type="dxa"/>
            <w:tcBorders>
              <w:top w:val="single" w:sz="5" w:space="0" w:color="000000"/>
              <w:left w:val="single" w:sz="5" w:space="0" w:color="000000"/>
              <w:bottom w:val="single" w:sz="4" w:space="0" w:color="000000"/>
              <w:right w:val="single" w:sz="4" w:space="0" w:color="000000"/>
            </w:tcBorders>
          </w:tcPr>
          <w:p w:rsidR="00120C9F" w:rsidRDefault="00126BBC">
            <w:pPr>
              <w:spacing w:after="0" w:line="259" w:lineRule="auto"/>
              <w:ind w:left="50" w:firstLine="0"/>
            </w:pPr>
            <w:r>
              <w:t xml:space="preserve">Legal Considerations </w:t>
            </w:r>
          </w:p>
        </w:tc>
        <w:tc>
          <w:tcPr>
            <w:tcW w:w="1081" w:type="dxa"/>
            <w:tcBorders>
              <w:top w:val="single" w:sz="5" w:space="0" w:color="000000"/>
              <w:left w:val="single" w:sz="4" w:space="0" w:color="000000"/>
              <w:bottom w:val="single" w:sz="4" w:space="0" w:color="000000"/>
              <w:right w:val="single" w:sz="4" w:space="0" w:color="000000"/>
            </w:tcBorders>
          </w:tcPr>
          <w:p w:rsidR="00120C9F" w:rsidRDefault="00126BBC">
            <w:pPr>
              <w:spacing w:after="0" w:line="259" w:lineRule="auto"/>
              <w:ind w:left="0" w:right="24" w:firstLine="0"/>
              <w:jc w:val="center"/>
            </w:pPr>
            <w:r>
              <w:t xml:space="preserve">5 </w:t>
            </w:r>
          </w:p>
        </w:tc>
        <w:tc>
          <w:tcPr>
            <w:tcW w:w="234" w:type="dxa"/>
            <w:tcBorders>
              <w:top w:val="single" w:sz="5"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5" w:space="0" w:color="000000"/>
              <w:left w:val="single" w:sz="5" w:space="0" w:color="000000"/>
              <w:bottom w:val="single" w:sz="4" w:space="0" w:color="000000"/>
              <w:right w:val="single" w:sz="4" w:space="0" w:color="000000"/>
            </w:tcBorders>
          </w:tcPr>
          <w:p w:rsidR="00120C9F" w:rsidRDefault="00126BBC">
            <w:pPr>
              <w:spacing w:after="0" w:line="259" w:lineRule="auto"/>
              <w:ind w:left="0" w:right="37" w:firstLine="0"/>
              <w:jc w:val="center"/>
            </w:pPr>
            <w:r>
              <w:t xml:space="preserve">26 </w:t>
            </w:r>
          </w:p>
        </w:tc>
        <w:tc>
          <w:tcPr>
            <w:tcW w:w="1620" w:type="dxa"/>
            <w:tcBorders>
              <w:top w:val="single" w:sz="5" w:space="0" w:color="000000"/>
              <w:left w:val="single" w:sz="4" w:space="0" w:color="000000"/>
              <w:bottom w:val="single" w:sz="4" w:space="0" w:color="000000"/>
              <w:right w:val="single" w:sz="4" w:space="0" w:color="000000"/>
            </w:tcBorders>
          </w:tcPr>
          <w:p w:rsidR="00120C9F" w:rsidRDefault="00126BBC">
            <w:pPr>
              <w:spacing w:after="0" w:line="259" w:lineRule="auto"/>
              <w:ind w:left="0" w:right="3" w:firstLine="0"/>
              <w:jc w:val="center"/>
            </w:pPr>
            <w:r>
              <w:t xml:space="preserve">5 </w:t>
            </w:r>
          </w:p>
        </w:tc>
      </w:tr>
      <w:tr w:rsidR="00120C9F">
        <w:trPr>
          <w:trHeight w:val="540"/>
        </w:trPr>
        <w:tc>
          <w:tcPr>
            <w:tcW w:w="1090" w:type="dxa"/>
            <w:tcBorders>
              <w:top w:val="single" w:sz="4" w:space="0" w:color="000000"/>
              <w:left w:val="single" w:sz="4" w:space="0" w:color="000000"/>
              <w:bottom w:val="single" w:sz="4" w:space="0" w:color="000000"/>
              <w:right w:val="single" w:sz="5" w:space="0" w:color="000000"/>
            </w:tcBorders>
            <w:vAlign w:val="bottom"/>
          </w:tcPr>
          <w:p w:rsidR="00120C9F" w:rsidRDefault="00126BBC">
            <w:pPr>
              <w:spacing w:after="0" w:line="259" w:lineRule="auto"/>
              <w:ind w:left="0" w:right="62" w:firstLine="0"/>
              <w:jc w:val="right"/>
            </w:pPr>
            <w:r>
              <w:t xml:space="preserve">III. </w:t>
            </w:r>
          </w:p>
          <w:p w:rsidR="00120C9F" w:rsidRDefault="00126BBC">
            <w:pPr>
              <w:spacing w:after="0" w:line="259" w:lineRule="auto"/>
              <w:ind w:left="0" w:firstLine="0"/>
            </w:pPr>
            <w:r>
              <w:rPr>
                <w:rFonts w:ascii="Calibri" w:eastAsia="Calibri" w:hAnsi="Calibri" w:cs="Calibri"/>
                <w:sz w:val="20"/>
              </w:rPr>
              <w:t xml:space="preserve"> </w:t>
            </w:r>
          </w:p>
        </w:tc>
        <w:tc>
          <w:tcPr>
            <w:tcW w:w="4490" w:type="dxa"/>
            <w:tcBorders>
              <w:top w:val="single" w:sz="4" w:space="0" w:color="000000"/>
              <w:left w:val="single" w:sz="5" w:space="0" w:color="000000"/>
              <w:bottom w:val="single" w:sz="4" w:space="0" w:color="000000"/>
              <w:right w:val="single" w:sz="4" w:space="0" w:color="000000"/>
            </w:tcBorders>
            <w:vAlign w:val="center"/>
          </w:tcPr>
          <w:p w:rsidR="00120C9F" w:rsidRDefault="00126BBC">
            <w:pPr>
              <w:spacing w:after="0" w:line="259" w:lineRule="auto"/>
              <w:ind w:left="49" w:firstLine="0"/>
            </w:pPr>
            <w:r>
              <w:t xml:space="preserve">Life Settlement Brokers </w:t>
            </w:r>
          </w:p>
        </w:tc>
        <w:tc>
          <w:tcPr>
            <w:tcW w:w="1081"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right="27" w:firstLine="0"/>
              <w:jc w:val="center"/>
            </w:pPr>
            <w:r>
              <w:t xml:space="preserve">6 </w:t>
            </w:r>
          </w:p>
        </w:tc>
        <w:tc>
          <w:tcPr>
            <w:tcW w:w="234" w:type="dxa"/>
            <w:tcBorders>
              <w:top w:val="single" w:sz="4"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4" w:space="0" w:color="000000"/>
              <w:left w:val="single" w:sz="5" w:space="0" w:color="000000"/>
              <w:bottom w:val="single" w:sz="4" w:space="0" w:color="000000"/>
              <w:right w:val="single" w:sz="4" w:space="0" w:color="000000"/>
            </w:tcBorders>
            <w:vAlign w:val="center"/>
          </w:tcPr>
          <w:p w:rsidR="00120C9F" w:rsidRDefault="00126BBC">
            <w:pPr>
              <w:spacing w:after="0" w:line="259" w:lineRule="auto"/>
              <w:ind w:left="0" w:right="40" w:firstLine="0"/>
              <w:jc w:val="center"/>
            </w:pPr>
            <w:r>
              <w:t xml:space="preserve">105 </w:t>
            </w:r>
          </w:p>
        </w:tc>
        <w:tc>
          <w:tcPr>
            <w:tcW w:w="1620"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right="5" w:firstLine="0"/>
              <w:jc w:val="center"/>
            </w:pPr>
            <w:r>
              <w:t xml:space="preserve">19 </w:t>
            </w:r>
          </w:p>
        </w:tc>
      </w:tr>
      <w:tr w:rsidR="00120C9F">
        <w:trPr>
          <w:trHeight w:val="540"/>
        </w:trPr>
        <w:tc>
          <w:tcPr>
            <w:tcW w:w="1090" w:type="dxa"/>
            <w:tcBorders>
              <w:top w:val="single" w:sz="4" w:space="0" w:color="000000"/>
              <w:left w:val="single" w:sz="4" w:space="0" w:color="000000"/>
              <w:bottom w:val="single" w:sz="4" w:space="0" w:color="000000"/>
              <w:right w:val="single" w:sz="5" w:space="0" w:color="000000"/>
            </w:tcBorders>
            <w:vAlign w:val="bottom"/>
          </w:tcPr>
          <w:p w:rsidR="00120C9F" w:rsidRDefault="00126BBC">
            <w:pPr>
              <w:spacing w:after="0" w:line="259" w:lineRule="auto"/>
              <w:ind w:left="0" w:right="61" w:firstLine="0"/>
              <w:jc w:val="right"/>
            </w:pPr>
            <w:r>
              <w:t xml:space="preserve">IV. </w:t>
            </w:r>
          </w:p>
          <w:p w:rsidR="00120C9F" w:rsidRDefault="00126BBC">
            <w:pPr>
              <w:spacing w:after="0" w:line="259" w:lineRule="auto"/>
              <w:ind w:left="0" w:firstLine="0"/>
            </w:pPr>
            <w:r>
              <w:rPr>
                <w:rFonts w:ascii="Calibri" w:eastAsia="Calibri" w:hAnsi="Calibri" w:cs="Calibri"/>
              </w:rPr>
              <w:t xml:space="preserve"> </w:t>
            </w:r>
          </w:p>
        </w:tc>
        <w:tc>
          <w:tcPr>
            <w:tcW w:w="4490" w:type="dxa"/>
            <w:tcBorders>
              <w:top w:val="single" w:sz="4" w:space="0" w:color="000000"/>
              <w:left w:val="single" w:sz="5" w:space="0" w:color="000000"/>
              <w:bottom w:val="single" w:sz="4" w:space="0" w:color="000000"/>
              <w:right w:val="single" w:sz="4" w:space="0" w:color="000000"/>
            </w:tcBorders>
          </w:tcPr>
          <w:p w:rsidR="00120C9F" w:rsidRDefault="00126BBC">
            <w:pPr>
              <w:spacing w:after="0" w:line="259" w:lineRule="auto"/>
              <w:ind w:left="50" w:firstLine="0"/>
            </w:pPr>
            <w:r>
              <w:t xml:space="preserve">Suitability Considerations </w:t>
            </w:r>
          </w:p>
        </w:tc>
        <w:tc>
          <w:tcPr>
            <w:tcW w:w="1081" w:type="dxa"/>
            <w:tcBorders>
              <w:top w:val="single" w:sz="4" w:space="0" w:color="000000"/>
              <w:left w:val="single" w:sz="4" w:space="0" w:color="000000"/>
              <w:bottom w:val="single" w:sz="4" w:space="0" w:color="000000"/>
              <w:right w:val="single" w:sz="4" w:space="0" w:color="000000"/>
            </w:tcBorders>
          </w:tcPr>
          <w:p w:rsidR="00120C9F" w:rsidRDefault="00126BBC">
            <w:pPr>
              <w:spacing w:after="0" w:line="259" w:lineRule="auto"/>
              <w:ind w:left="0" w:right="27" w:firstLine="0"/>
              <w:jc w:val="center"/>
            </w:pPr>
            <w:r>
              <w:t xml:space="preserve">6 </w:t>
            </w:r>
          </w:p>
        </w:tc>
        <w:tc>
          <w:tcPr>
            <w:tcW w:w="234" w:type="dxa"/>
            <w:tcBorders>
              <w:top w:val="single" w:sz="4"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4" w:space="0" w:color="000000"/>
              <w:left w:val="single" w:sz="5" w:space="0" w:color="000000"/>
              <w:bottom w:val="single" w:sz="4" w:space="0" w:color="000000"/>
              <w:right w:val="single" w:sz="4" w:space="0" w:color="000000"/>
            </w:tcBorders>
          </w:tcPr>
          <w:p w:rsidR="00120C9F" w:rsidRDefault="00126BBC">
            <w:pPr>
              <w:spacing w:after="0" w:line="259" w:lineRule="auto"/>
              <w:ind w:left="0" w:right="40" w:firstLine="0"/>
              <w:jc w:val="center"/>
            </w:pPr>
            <w:r>
              <w:t xml:space="preserve">150 </w:t>
            </w:r>
          </w:p>
        </w:tc>
        <w:tc>
          <w:tcPr>
            <w:tcW w:w="1620" w:type="dxa"/>
            <w:tcBorders>
              <w:top w:val="single" w:sz="4" w:space="0" w:color="000000"/>
              <w:left w:val="single" w:sz="4" w:space="0" w:color="000000"/>
              <w:bottom w:val="single" w:sz="4" w:space="0" w:color="000000"/>
              <w:right w:val="single" w:sz="4" w:space="0" w:color="000000"/>
            </w:tcBorders>
          </w:tcPr>
          <w:p w:rsidR="00120C9F" w:rsidRDefault="00126BBC">
            <w:pPr>
              <w:spacing w:after="0" w:line="259" w:lineRule="auto"/>
              <w:ind w:left="0" w:right="5" w:firstLine="0"/>
              <w:jc w:val="center"/>
            </w:pPr>
            <w:r>
              <w:t xml:space="preserve">27 </w:t>
            </w:r>
          </w:p>
        </w:tc>
      </w:tr>
      <w:tr w:rsidR="00120C9F">
        <w:trPr>
          <w:trHeight w:val="540"/>
        </w:trPr>
        <w:tc>
          <w:tcPr>
            <w:tcW w:w="1090" w:type="dxa"/>
            <w:tcBorders>
              <w:top w:val="single" w:sz="4" w:space="0" w:color="000000"/>
              <w:left w:val="single" w:sz="4" w:space="0" w:color="000000"/>
              <w:bottom w:val="single" w:sz="4" w:space="0" w:color="000000"/>
              <w:right w:val="single" w:sz="5" w:space="0" w:color="000000"/>
            </w:tcBorders>
            <w:vAlign w:val="bottom"/>
          </w:tcPr>
          <w:p w:rsidR="00120C9F" w:rsidRDefault="00126BBC">
            <w:pPr>
              <w:spacing w:after="0" w:line="259" w:lineRule="auto"/>
              <w:ind w:left="0" w:right="60" w:firstLine="0"/>
              <w:jc w:val="right"/>
            </w:pPr>
            <w:r>
              <w:t xml:space="preserve">V. </w:t>
            </w:r>
          </w:p>
          <w:p w:rsidR="00120C9F" w:rsidRDefault="00126BBC">
            <w:pPr>
              <w:spacing w:after="0" w:line="259" w:lineRule="auto"/>
              <w:ind w:left="0" w:firstLine="0"/>
            </w:pPr>
            <w:r>
              <w:rPr>
                <w:rFonts w:ascii="Calibri" w:eastAsia="Calibri" w:hAnsi="Calibri" w:cs="Calibri"/>
                <w:sz w:val="26"/>
              </w:rPr>
              <w:t xml:space="preserve"> </w:t>
            </w:r>
          </w:p>
        </w:tc>
        <w:tc>
          <w:tcPr>
            <w:tcW w:w="4490" w:type="dxa"/>
            <w:tcBorders>
              <w:top w:val="single" w:sz="4" w:space="0" w:color="000000"/>
              <w:left w:val="single" w:sz="5" w:space="0" w:color="000000"/>
              <w:bottom w:val="single" w:sz="4" w:space="0" w:color="000000"/>
              <w:right w:val="single" w:sz="4" w:space="0" w:color="000000"/>
            </w:tcBorders>
          </w:tcPr>
          <w:p w:rsidR="00120C9F" w:rsidRDefault="00126BBC">
            <w:pPr>
              <w:spacing w:after="0" w:line="259" w:lineRule="auto"/>
              <w:ind w:left="51" w:firstLine="0"/>
            </w:pPr>
            <w:r>
              <w:t xml:space="preserve">Life Settlement Transaction Process </w:t>
            </w:r>
          </w:p>
        </w:tc>
        <w:tc>
          <w:tcPr>
            <w:tcW w:w="1081" w:type="dxa"/>
            <w:tcBorders>
              <w:top w:val="single" w:sz="4" w:space="0" w:color="000000"/>
              <w:left w:val="single" w:sz="4" w:space="0" w:color="000000"/>
              <w:bottom w:val="single" w:sz="4" w:space="0" w:color="000000"/>
              <w:right w:val="single" w:sz="4" w:space="0" w:color="000000"/>
            </w:tcBorders>
          </w:tcPr>
          <w:p w:rsidR="00120C9F" w:rsidRDefault="00126BBC">
            <w:pPr>
              <w:spacing w:after="0" w:line="259" w:lineRule="auto"/>
              <w:ind w:left="0" w:right="27" w:firstLine="0"/>
              <w:jc w:val="center"/>
            </w:pPr>
            <w:r>
              <w:t xml:space="preserve">7 </w:t>
            </w:r>
          </w:p>
        </w:tc>
        <w:tc>
          <w:tcPr>
            <w:tcW w:w="234" w:type="dxa"/>
            <w:tcBorders>
              <w:top w:val="single" w:sz="4"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4" w:space="0" w:color="000000"/>
              <w:left w:val="single" w:sz="5" w:space="0" w:color="000000"/>
              <w:bottom w:val="single" w:sz="4" w:space="0" w:color="000000"/>
              <w:right w:val="single" w:sz="4" w:space="0" w:color="000000"/>
            </w:tcBorders>
          </w:tcPr>
          <w:p w:rsidR="00120C9F" w:rsidRDefault="00126BBC">
            <w:pPr>
              <w:spacing w:after="0" w:line="259" w:lineRule="auto"/>
              <w:ind w:left="0" w:right="40" w:firstLine="0"/>
              <w:jc w:val="center"/>
            </w:pPr>
            <w:r>
              <w:t xml:space="preserve">150 </w:t>
            </w:r>
          </w:p>
        </w:tc>
        <w:tc>
          <w:tcPr>
            <w:tcW w:w="1620" w:type="dxa"/>
            <w:tcBorders>
              <w:top w:val="single" w:sz="4" w:space="0" w:color="000000"/>
              <w:left w:val="single" w:sz="4" w:space="0" w:color="000000"/>
              <w:bottom w:val="single" w:sz="4" w:space="0" w:color="000000"/>
              <w:right w:val="single" w:sz="4" w:space="0" w:color="000000"/>
            </w:tcBorders>
          </w:tcPr>
          <w:p w:rsidR="00120C9F" w:rsidRDefault="00126BBC">
            <w:pPr>
              <w:spacing w:after="0" w:line="259" w:lineRule="auto"/>
              <w:ind w:left="0" w:right="5" w:firstLine="0"/>
              <w:jc w:val="center"/>
            </w:pPr>
            <w:r>
              <w:t xml:space="preserve">27 </w:t>
            </w:r>
          </w:p>
        </w:tc>
      </w:tr>
      <w:tr w:rsidR="00120C9F">
        <w:trPr>
          <w:trHeight w:val="540"/>
        </w:trPr>
        <w:tc>
          <w:tcPr>
            <w:tcW w:w="1090" w:type="dxa"/>
            <w:tcBorders>
              <w:top w:val="single" w:sz="4" w:space="0" w:color="000000"/>
              <w:left w:val="single" w:sz="4" w:space="0" w:color="000000"/>
              <w:bottom w:val="single" w:sz="4" w:space="0" w:color="000000"/>
              <w:right w:val="single" w:sz="5" w:space="0" w:color="000000"/>
            </w:tcBorders>
            <w:vAlign w:val="bottom"/>
          </w:tcPr>
          <w:p w:rsidR="00120C9F" w:rsidRDefault="00126BBC">
            <w:pPr>
              <w:spacing w:after="0" w:line="259" w:lineRule="auto"/>
              <w:ind w:left="0" w:right="61" w:firstLine="0"/>
              <w:jc w:val="right"/>
            </w:pPr>
            <w:r>
              <w:t xml:space="preserve">VI. </w:t>
            </w:r>
          </w:p>
          <w:p w:rsidR="00120C9F" w:rsidRDefault="00126BBC">
            <w:pPr>
              <w:spacing w:after="0" w:line="259" w:lineRule="auto"/>
              <w:ind w:left="0" w:firstLine="0"/>
            </w:pPr>
            <w:r>
              <w:rPr>
                <w:rFonts w:ascii="Calibri" w:eastAsia="Calibri" w:hAnsi="Calibri" w:cs="Calibri"/>
              </w:rPr>
              <w:t xml:space="preserve"> </w:t>
            </w:r>
          </w:p>
        </w:tc>
        <w:tc>
          <w:tcPr>
            <w:tcW w:w="4490" w:type="dxa"/>
            <w:tcBorders>
              <w:top w:val="single" w:sz="4" w:space="0" w:color="000000"/>
              <w:left w:val="single" w:sz="5" w:space="0" w:color="000000"/>
              <w:bottom w:val="single" w:sz="4" w:space="0" w:color="000000"/>
              <w:right w:val="single" w:sz="4" w:space="0" w:color="000000"/>
            </w:tcBorders>
            <w:vAlign w:val="center"/>
          </w:tcPr>
          <w:p w:rsidR="00120C9F" w:rsidRDefault="00126BBC">
            <w:pPr>
              <w:spacing w:after="0" w:line="259" w:lineRule="auto"/>
              <w:ind w:left="50" w:firstLine="0"/>
            </w:pPr>
            <w:r>
              <w:t xml:space="preserve">Fraud </w:t>
            </w:r>
          </w:p>
        </w:tc>
        <w:tc>
          <w:tcPr>
            <w:tcW w:w="1081"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right="26" w:firstLine="0"/>
              <w:jc w:val="center"/>
            </w:pPr>
            <w:r>
              <w:t xml:space="preserve">8 </w:t>
            </w:r>
          </w:p>
        </w:tc>
        <w:tc>
          <w:tcPr>
            <w:tcW w:w="234" w:type="dxa"/>
            <w:tcBorders>
              <w:top w:val="single" w:sz="4"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4" w:space="0" w:color="000000"/>
              <w:left w:val="single" w:sz="5" w:space="0" w:color="000000"/>
              <w:bottom w:val="single" w:sz="4" w:space="0" w:color="000000"/>
              <w:right w:val="single" w:sz="4" w:space="0" w:color="000000"/>
            </w:tcBorders>
            <w:vAlign w:val="center"/>
          </w:tcPr>
          <w:p w:rsidR="00120C9F" w:rsidRDefault="00126BBC">
            <w:pPr>
              <w:spacing w:after="0" w:line="259" w:lineRule="auto"/>
              <w:ind w:left="0" w:right="39" w:firstLine="0"/>
              <w:jc w:val="center"/>
            </w:pPr>
            <w:r>
              <w:t xml:space="preserve">128 </w:t>
            </w:r>
          </w:p>
        </w:tc>
        <w:tc>
          <w:tcPr>
            <w:tcW w:w="1620"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right="5" w:firstLine="0"/>
              <w:jc w:val="center"/>
            </w:pPr>
            <w:r>
              <w:t xml:space="preserve">23 </w:t>
            </w:r>
          </w:p>
        </w:tc>
      </w:tr>
      <w:tr w:rsidR="00120C9F">
        <w:trPr>
          <w:trHeight w:val="522"/>
        </w:trPr>
        <w:tc>
          <w:tcPr>
            <w:tcW w:w="1090" w:type="dxa"/>
            <w:tcBorders>
              <w:top w:val="single" w:sz="4" w:space="0" w:color="000000"/>
              <w:left w:val="single" w:sz="4" w:space="0" w:color="000000"/>
              <w:bottom w:val="single" w:sz="4" w:space="0" w:color="000000"/>
              <w:right w:val="single" w:sz="5" w:space="0" w:color="000000"/>
            </w:tcBorders>
            <w:vAlign w:val="bottom"/>
          </w:tcPr>
          <w:p w:rsidR="00120C9F" w:rsidRDefault="00126BBC">
            <w:pPr>
              <w:spacing w:after="0" w:line="259" w:lineRule="auto"/>
              <w:ind w:left="0" w:right="61" w:firstLine="0"/>
              <w:jc w:val="right"/>
            </w:pPr>
            <w:r>
              <w:t xml:space="preserve">VII. </w:t>
            </w:r>
          </w:p>
          <w:p w:rsidR="00120C9F" w:rsidRDefault="00126BBC">
            <w:pPr>
              <w:spacing w:after="0" w:line="259" w:lineRule="auto"/>
              <w:ind w:left="0" w:firstLine="0"/>
            </w:pPr>
            <w:r>
              <w:rPr>
                <w:rFonts w:ascii="Calibri" w:eastAsia="Calibri" w:hAnsi="Calibri" w:cs="Calibri"/>
                <w:sz w:val="22"/>
              </w:rPr>
              <w:t xml:space="preserve"> </w:t>
            </w:r>
          </w:p>
        </w:tc>
        <w:tc>
          <w:tcPr>
            <w:tcW w:w="4490" w:type="dxa"/>
            <w:tcBorders>
              <w:top w:val="single" w:sz="4" w:space="0" w:color="000000"/>
              <w:left w:val="single" w:sz="5" w:space="0" w:color="000000"/>
              <w:bottom w:val="single" w:sz="4" w:space="0" w:color="000000"/>
              <w:right w:val="single" w:sz="4" w:space="0" w:color="000000"/>
            </w:tcBorders>
            <w:vAlign w:val="center"/>
          </w:tcPr>
          <w:p w:rsidR="00120C9F" w:rsidRDefault="00126BBC">
            <w:pPr>
              <w:spacing w:after="0" w:line="259" w:lineRule="auto"/>
              <w:ind w:left="50" w:firstLine="0"/>
            </w:pPr>
            <w:r>
              <w:t xml:space="preserve">Future Developments </w:t>
            </w:r>
          </w:p>
        </w:tc>
        <w:tc>
          <w:tcPr>
            <w:tcW w:w="1081"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right="26" w:firstLine="0"/>
              <w:jc w:val="center"/>
            </w:pPr>
            <w:r>
              <w:t xml:space="preserve">9 </w:t>
            </w:r>
          </w:p>
        </w:tc>
        <w:tc>
          <w:tcPr>
            <w:tcW w:w="234" w:type="dxa"/>
            <w:tcBorders>
              <w:top w:val="single" w:sz="4" w:space="0" w:color="000000"/>
              <w:left w:val="single" w:sz="4" w:space="0" w:color="000000"/>
              <w:bottom w:val="single" w:sz="4"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4" w:space="0" w:color="000000"/>
              <w:left w:val="single" w:sz="5" w:space="0" w:color="000000"/>
              <w:bottom w:val="single" w:sz="4" w:space="0" w:color="000000"/>
              <w:right w:val="single" w:sz="4" w:space="0" w:color="000000"/>
            </w:tcBorders>
            <w:vAlign w:val="center"/>
          </w:tcPr>
          <w:p w:rsidR="00120C9F" w:rsidRDefault="00126BBC">
            <w:pPr>
              <w:spacing w:after="0" w:line="259" w:lineRule="auto"/>
              <w:ind w:left="0" w:right="39" w:firstLine="0"/>
              <w:jc w:val="center"/>
            </w:pPr>
            <w:r>
              <w:t xml:space="preserve">26 </w:t>
            </w:r>
          </w:p>
        </w:tc>
        <w:tc>
          <w:tcPr>
            <w:tcW w:w="1620"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right="4" w:firstLine="0"/>
              <w:jc w:val="center"/>
            </w:pPr>
            <w:r>
              <w:t xml:space="preserve">5 </w:t>
            </w:r>
          </w:p>
        </w:tc>
      </w:tr>
      <w:tr w:rsidR="00120C9F">
        <w:trPr>
          <w:trHeight w:val="584"/>
        </w:trPr>
        <w:tc>
          <w:tcPr>
            <w:tcW w:w="1090" w:type="dxa"/>
            <w:tcBorders>
              <w:top w:val="single" w:sz="4" w:space="0" w:color="000000"/>
              <w:left w:val="single" w:sz="4" w:space="0" w:color="000000"/>
              <w:bottom w:val="single" w:sz="5" w:space="0" w:color="000000"/>
              <w:right w:val="single" w:sz="5" w:space="0" w:color="000000"/>
            </w:tcBorders>
          </w:tcPr>
          <w:p w:rsidR="00120C9F" w:rsidRDefault="00126BBC">
            <w:pPr>
              <w:spacing w:after="0" w:line="259" w:lineRule="auto"/>
              <w:ind w:left="0" w:right="61" w:firstLine="0"/>
              <w:jc w:val="right"/>
            </w:pPr>
            <w:r>
              <w:t>VIII</w:t>
            </w:r>
            <w:r>
              <w:rPr>
                <w:b/>
              </w:rPr>
              <w:t xml:space="preserve">. </w:t>
            </w:r>
          </w:p>
          <w:p w:rsidR="00120C9F" w:rsidRDefault="00126BBC">
            <w:pPr>
              <w:spacing w:after="0" w:line="259" w:lineRule="auto"/>
              <w:ind w:left="0" w:firstLine="0"/>
            </w:pPr>
            <w:r>
              <w:rPr>
                <w:rFonts w:ascii="Calibri" w:eastAsia="Calibri" w:hAnsi="Calibri" w:cs="Calibri"/>
                <w:sz w:val="10"/>
              </w:rPr>
              <w:t xml:space="preserve"> </w:t>
            </w:r>
          </w:p>
        </w:tc>
        <w:tc>
          <w:tcPr>
            <w:tcW w:w="4490" w:type="dxa"/>
            <w:tcBorders>
              <w:top w:val="single" w:sz="4" w:space="0" w:color="000000"/>
              <w:left w:val="single" w:sz="5" w:space="0" w:color="000000"/>
              <w:bottom w:val="single" w:sz="5" w:space="0" w:color="000000"/>
              <w:right w:val="single" w:sz="4" w:space="0" w:color="000000"/>
            </w:tcBorders>
            <w:vAlign w:val="center"/>
          </w:tcPr>
          <w:p w:rsidR="00120C9F" w:rsidRDefault="00126BBC">
            <w:pPr>
              <w:spacing w:after="0" w:line="259" w:lineRule="auto"/>
              <w:ind w:left="50" w:firstLine="0"/>
            </w:pPr>
            <w:r>
              <w:t xml:space="preserve">Ethics </w:t>
            </w:r>
          </w:p>
        </w:tc>
        <w:tc>
          <w:tcPr>
            <w:tcW w:w="1081" w:type="dxa"/>
            <w:tcBorders>
              <w:top w:val="single" w:sz="4" w:space="0" w:color="000000"/>
              <w:left w:val="single" w:sz="4" w:space="0" w:color="000000"/>
              <w:bottom w:val="single" w:sz="5" w:space="0" w:color="000000"/>
              <w:right w:val="single" w:sz="4" w:space="0" w:color="000000"/>
            </w:tcBorders>
            <w:vAlign w:val="center"/>
          </w:tcPr>
          <w:p w:rsidR="00120C9F" w:rsidRDefault="00126BBC">
            <w:pPr>
              <w:spacing w:after="0" w:line="259" w:lineRule="auto"/>
              <w:ind w:left="0" w:right="25" w:firstLine="0"/>
              <w:jc w:val="center"/>
            </w:pPr>
            <w:r>
              <w:t xml:space="preserve">9 </w:t>
            </w:r>
          </w:p>
        </w:tc>
        <w:tc>
          <w:tcPr>
            <w:tcW w:w="234" w:type="dxa"/>
            <w:tcBorders>
              <w:top w:val="single" w:sz="4" w:space="0" w:color="000000"/>
              <w:left w:val="single" w:sz="4" w:space="0" w:color="000000"/>
              <w:bottom w:val="single" w:sz="5"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4" w:space="0" w:color="000000"/>
              <w:left w:val="single" w:sz="5" w:space="0" w:color="000000"/>
              <w:bottom w:val="single" w:sz="5" w:space="0" w:color="000000"/>
              <w:right w:val="single" w:sz="4" w:space="0" w:color="000000"/>
            </w:tcBorders>
            <w:vAlign w:val="center"/>
          </w:tcPr>
          <w:p w:rsidR="00120C9F" w:rsidRDefault="00126BBC">
            <w:pPr>
              <w:spacing w:after="0" w:line="259" w:lineRule="auto"/>
              <w:ind w:left="0" w:right="39" w:firstLine="0"/>
              <w:jc w:val="center"/>
            </w:pPr>
            <w:r>
              <w:t xml:space="preserve">105 </w:t>
            </w:r>
          </w:p>
        </w:tc>
        <w:tc>
          <w:tcPr>
            <w:tcW w:w="1620" w:type="dxa"/>
            <w:tcBorders>
              <w:top w:val="single" w:sz="4" w:space="0" w:color="000000"/>
              <w:left w:val="single" w:sz="4" w:space="0" w:color="000000"/>
              <w:bottom w:val="single" w:sz="5" w:space="0" w:color="000000"/>
              <w:right w:val="single" w:sz="4" w:space="0" w:color="000000"/>
            </w:tcBorders>
            <w:vAlign w:val="center"/>
          </w:tcPr>
          <w:p w:rsidR="00120C9F" w:rsidRDefault="00126BBC">
            <w:pPr>
              <w:spacing w:after="0" w:line="259" w:lineRule="auto"/>
              <w:ind w:left="0" w:right="5" w:firstLine="0"/>
              <w:jc w:val="center"/>
            </w:pPr>
            <w:r>
              <w:t xml:space="preserve">19 </w:t>
            </w:r>
          </w:p>
        </w:tc>
      </w:tr>
      <w:tr w:rsidR="00120C9F">
        <w:trPr>
          <w:trHeight w:val="828"/>
        </w:trPr>
        <w:tc>
          <w:tcPr>
            <w:tcW w:w="5580" w:type="dxa"/>
            <w:gridSpan w:val="2"/>
            <w:tcBorders>
              <w:top w:val="single" w:sz="5" w:space="0" w:color="000000"/>
              <w:left w:val="single" w:sz="4" w:space="0" w:color="000000"/>
              <w:bottom w:val="single" w:sz="5" w:space="0" w:color="000000"/>
              <w:right w:val="single" w:sz="4" w:space="0" w:color="000000"/>
            </w:tcBorders>
          </w:tcPr>
          <w:p w:rsidR="00120C9F" w:rsidRDefault="00126BBC">
            <w:pPr>
              <w:spacing w:after="26" w:line="259" w:lineRule="auto"/>
              <w:ind w:left="0" w:firstLine="0"/>
            </w:pPr>
            <w:r>
              <w:rPr>
                <w:rFonts w:ascii="Calibri" w:eastAsia="Calibri" w:hAnsi="Calibri" w:cs="Calibri"/>
                <w:sz w:val="20"/>
              </w:rPr>
              <w:lastRenderedPageBreak/>
              <w:t xml:space="preserve"> </w:t>
            </w:r>
          </w:p>
          <w:p w:rsidR="00120C9F" w:rsidRDefault="00126BBC">
            <w:pPr>
              <w:spacing w:after="0" w:line="259" w:lineRule="auto"/>
              <w:ind w:left="319" w:firstLine="0"/>
            </w:pPr>
            <w:r>
              <w:t xml:space="preserve">15-Hour Life Settlement Broker Outline </w:t>
            </w:r>
          </w:p>
          <w:p w:rsidR="00120C9F" w:rsidRDefault="00126BBC">
            <w:pPr>
              <w:spacing w:after="0" w:line="259" w:lineRule="auto"/>
              <w:ind w:left="319" w:firstLine="0"/>
            </w:pPr>
            <w:r>
              <w:t xml:space="preserve">Definition of Terms – Attachment I </w:t>
            </w:r>
          </w:p>
        </w:tc>
        <w:tc>
          <w:tcPr>
            <w:tcW w:w="1081" w:type="dxa"/>
            <w:tcBorders>
              <w:top w:val="single" w:sz="5" w:space="0" w:color="000000"/>
              <w:left w:val="single" w:sz="4" w:space="0" w:color="000000"/>
              <w:bottom w:val="single" w:sz="5" w:space="0" w:color="000000"/>
              <w:right w:val="single" w:sz="4" w:space="0" w:color="000000"/>
            </w:tcBorders>
            <w:vAlign w:val="bottom"/>
          </w:tcPr>
          <w:p w:rsidR="00120C9F" w:rsidRDefault="00126BBC">
            <w:pPr>
              <w:spacing w:after="110" w:line="259" w:lineRule="auto"/>
              <w:ind w:left="211" w:firstLine="0"/>
            </w:pPr>
            <w:r>
              <w:rPr>
                <w:rFonts w:ascii="Calibri" w:eastAsia="Calibri" w:hAnsi="Calibri" w:cs="Calibri"/>
                <w:sz w:val="10"/>
              </w:rPr>
              <w:t xml:space="preserve"> </w:t>
            </w:r>
          </w:p>
          <w:p w:rsidR="00120C9F" w:rsidRDefault="00126BBC">
            <w:pPr>
              <w:spacing w:after="0" w:line="259" w:lineRule="auto"/>
              <w:ind w:left="0" w:right="1" w:firstLine="0"/>
              <w:jc w:val="center"/>
            </w:pPr>
            <w:r>
              <w:t xml:space="preserve">1 – 3 </w:t>
            </w:r>
          </w:p>
          <w:p w:rsidR="00120C9F" w:rsidRDefault="00126BBC">
            <w:pPr>
              <w:spacing w:after="0" w:line="259" w:lineRule="auto"/>
              <w:ind w:left="211" w:firstLine="0"/>
            </w:pPr>
            <w:r>
              <w:rPr>
                <w:rFonts w:ascii="Calibri" w:eastAsia="Calibri" w:hAnsi="Calibri" w:cs="Calibri"/>
                <w:sz w:val="15"/>
              </w:rPr>
              <w:t xml:space="preserve"> </w:t>
            </w:r>
          </w:p>
          <w:p w:rsidR="00120C9F" w:rsidRDefault="00126BBC">
            <w:pPr>
              <w:spacing w:after="0" w:line="259" w:lineRule="auto"/>
              <w:ind w:left="211" w:firstLine="0"/>
            </w:pPr>
            <w:r>
              <w:rPr>
                <w:rFonts w:ascii="Calibri" w:eastAsia="Calibri" w:hAnsi="Calibri" w:cs="Calibri"/>
                <w:sz w:val="20"/>
              </w:rPr>
              <w:t xml:space="preserve"> </w:t>
            </w:r>
          </w:p>
        </w:tc>
        <w:tc>
          <w:tcPr>
            <w:tcW w:w="234" w:type="dxa"/>
            <w:tcBorders>
              <w:top w:val="single" w:sz="5" w:space="0" w:color="000000"/>
              <w:left w:val="single" w:sz="4" w:space="0" w:color="000000"/>
              <w:bottom w:val="single" w:sz="5"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5" w:space="0" w:color="000000"/>
              <w:left w:val="single" w:sz="5" w:space="0" w:color="000000"/>
              <w:bottom w:val="single" w:sz="5" w:space="0" w:color="000000"/>
              <w:right w:val="nil"/>
            </w:tcBorders>
          </w:tcPr>
          <w:p w:rsidR="00120C9F" w:rsidRDefault="00120C9F">
            <w:pPr>
              <w:spacing w:after="160" w:line="259" w:lineRule="auto"/>
              <w:ind w:left="0" w:firstLine="0"/>
            </w:pPr>
          </w:p>
        </w:tc>
        <w:tc>
          <w:tcPr>
            <w:tcW w:w="1620" w:type="dxa"/>
            <w:tcBorders>
              <w:top w:val="single" w:sz="5" w:space="0" w:color="000000"/>
              <w:left w:val="nil"/>
              <w:bottom w:val="single" w:sz="5" w:space="0" w:color="000000"/>
              <w:right w:val="single" w:sz="4" w:space="0" w:color="000000"/>
            </w:tcBorders>
          </w:tcPr>
          <w:p w:rsidR="00120C9F" w:rsidRDefault="00120C9F">
            <w:pPr>
              <w:spacing w:after="160" w:line="259" w:lineRule="auto"/>
              <w:ind w:left="0" w:firstLine="0"/>
            </w:pPr>
          </w:p>
        </w:tc>
      </w:tr>
      <w:tr w:rsidR="00120C9F">
        <w:trPr>
          <w:trHeight w:val="900"/>
        </w:trPr>
        <w:tc>
          <w:tcPr>
            <w:tcW w:w="5580" w:type="dxa"/>
            <w:gridSpan w:val="2"/>
            <w:tcBorders>
              <w:top w:val="single" w:sz="5" w:space="0" w:color="000000"/>
              <w:left w:val="single" w:sz="4" w:space="0" w:color="000000"/>
              <w:bottom w:val="single" w:sz="5" w:space="0" w:color="000000"/>
              <w:right w:val="single" w:sz="4" w:space="0" w:color="000000"/>
            </w:tcBorders>
          </w:tcPr>
          <w:p w:rsidR="00120C9F" w:rsidRDefault="00126BBC">
            <w:pPr>
              <w:spacing w:after="0" w:line="259" w:lineRule="auto"/>
              <w:ind w:left="0" w:firstLine="0"/>
            </w:pPr>
            <w:r>
              <w:rPr>
                <w:rFonts w:ascii="Calibri" w:eastAsia="Calibri" w:hAnsi="Calibri" w:cs="Calibri"/>
                <w:sz w:val="26"/>
              </w:rPr>
              <w:t xml:space="preserve"> </w:t>
            </w:r>
          </w:p>
          <w:p w:rsidR="00120C9F" w:rsidRDefault="00126BBC">
            <w:pPr>
              <w:spacing w:after="0" w:line="246" w:lineRule="auto"/>
              <w:ind w:left="319" w:firstLine="0"/>
            </w:pPr>
            <w:r>
              <w:t xml:space="preserve">Life Agent Disclosure Requirements for Sales to Elders  – Attachment II </w:t>
            </w:r>
          </w:p>
          <w:p w:rsidR="00120C9F" w:rsidRDefault="00126BBC">
            <w:pPr>
              <w:spacing w:after="0" w:line="259" w:lineRule="auto"/>
              <w:ind w:left="0" w:firstLine="0"/>
            </w:pPr>
            <w:r>
              <w:rPr>
                <w:rFonts w:ascii="Calibri" w:eastAsia="Calibri" w:hAnsi="Calibri" w:cs="Calibri"/>
                <w:sz w:val="20"/>
              </w:rPr>
              <w:t xml:space="preserve"> </w:t>
            </w:r>
          </w:p>
        </w:tc>
        <w:tc>
          <w:tcPr>
            <w:tcW w:w="1081" w:type="dxa"/>
            <w:tcBorders>
              <w:top w:val="single" w:sz="5" w:space="0" w:color="000000"/>
              <w:left w:val="single" w:sz="4" w:space="0" w:color="000000"/>
              <w:bottom w:val="single" w:sz="5" w:space="0" w:color="000000"/>
              <w:right w:val="single" w:sz="4" w:space="0" w:color="000000"/>
            </w:tcBorders>
          </w:tcPr>
          <w:p w:rsidR="00120C9F" w:rsidRDefault="00126BBC">
            <w:pPr>
              <w:spacing w:after="0" w:line="259" w:lineRule="auto"/>
              <w:ind w:left="211" w:firstLine="0"/>
            </w:pPr>
            <w:r>
              <w:rPr>
                <w:rFonts w:ascii="Calibri" w:eastAsia="Calibri" w:hAnsi="Calibri" w:cs="Calibri"/>
                <w:sz w:val="20"/>
              </w:rPr>
              <w:t xml:space="preserve"> </w:t>
            </w:r>
          </w:p>
          <w:p w:rsidR="00120C9F" w:rsidRDefault="00126BBC">
            <w:pPr>
              <w:spacing w:after="0" w:line="259" w:lineRule="auto"/>
              <w:ind w:left="0" w:right="3" w:firstLine="0"/>
              <w:jc w:val="center"/>
            </w:pPr>
            <w:r>
              <w:t xml:space="preserve">1 - 14 </w:t>
            </w:r>
          </w:p>
        </w:tc>
        <w:tc>
          <w:tcPr>
            <w:tcW w:w="234" w:type="dxa"/>
            <w:tcBorders>
              <w:top w:val="single" w:sz="5" w:space="0" w:color="000000"/>
              <w:left w:val="single" w:sz="4" w:space="0" w:color="000000"/>
              <w:bottom w:val="single" w:sz="5" w:space="0" w:color="000000"/>
              <w:right w:val="single" w:sz="5" w:space="0" w:color="000000"/>
            </w:tcBorders>
            <w:shd w:val="clear" w:color="auto" w:fill="CCCCCC"/>
          </w:tcPr>
          <w:p w:rsidR="00120C9F" w:rsidRDefault="00120C9F">
            <w:pPr>
              <w:spacing w:after="160" w:line="259" w:lineRule="auto"/>
              <w:ind w:left="0" w:firstLine="0"/>
            </w:pPr>
          </w:p>
        </w:tc>
        <w:tc>
          <w:tcPr>
            <w:tcW w:w="1745" w:type="dxa"/>
            <w:tcBorders>
              <w:top w:val="single" w:sz="5" w:space="0" w:color="000000"/>
              <w:left w:val="single" w:sz="5" w:space="0" w:color="000000"/>
              <w:bottom w:val="single" w:sz="5" w:space="0" w:color="000000"/>
              <w:right w:val="nil"/>
            </w:tcBorders>
          </w:tcPr>
          <w:p w:rsidR="00120C9F" w:rsidRDefault="00120C9F">
            <w:pPr>
              <w:spacing w:after="160" w:line="259" w:lineRule="auto"/>
              <w:ind w:left="0" w:firstLine="0"/>
            </w:pPr>
          </w:p>
        </w:tc>
        <w:tc>
          <w:tcPr>
            <w:tcW w:w="1620" w:type="dxa"/>
            <w:tcBorders>
              <w:top w:val="single" w:sz="5" w:space="0" w:color="000000"/>
              <w:left w:val="nil"/>
              <w:bottom w:val="single" w:sz="5" w:space="0" w:color="000000"/>
              <w:right w:val="single" w:sz="4" w:space="0" w:color="000000"/>
            </w:tcBorders>
          </w:tcPr>
          <w:p w:rsidR="00120C9F" w:rsidRDefault="00120C9F">
            <w:pPr>
              <w:spacing w:after="160" w:line="259" w:lineRule="auto"/>
              <w:ind w:left="0" w:firstLine="0"/>
            </w:pPr>
          </w:p>
        </w:tc>
      </w:tr>
    </w:tbl>
    <w:p w:rsidR="00120C9F" w:rsidRDefault="00126BBC" w:rsidP="00D016A5">
      <w:pPr>
        <w:spacing w:after="0" w:line="259" w:lineRule="auto"/>
        <w:ind w:left="100" w:firstLine="0"/>
      </w:pPr>
      <w:r>
        <w:rPr>
          <w:rFonts w:ascii="Calibri" w:eastAsia="Calibri" w:hAnsi="Calibri" w:cs="Calibri"/>
          <w:sz w:val="20"/>
        </w:rPr>
        <w:t xml:space="preserve"> </w:t>
      </w:r>
    </w:p>
    <w:p w:rsidR="00120C9F" w:rsidRDefault="00126BBC">
      <w:pPr>
        <w:pStyle w:val="Heading2"/>
        <w:rPr>
          <w:b w:val="0"/>
        </w:rPr>
      </w:pPr>
      <w:r>
        <w:t>Background</w:t>
      </w:r>
      <w:r>
        <w:rPr>
          <w:b w:val="0"/>
        </w:rPr>
        <w:t xml:space="preserve"> </w:t>
      </w:r>
    </w:p>
    <w:p w:rsidR="00D016A5" w:rsidRPr="00D016A5" w:rsidRDefault="00D016A5" w:rsidP="00D016A5"/>
    <w:p w:rsidR="00120C9F" w:rsidRPr="00D016A5" w:rsidRDefault="00126BBC">
      <w:pPr>
        <w:spacing w:after="0" w:line="238" w:lineRule="auto"/>
        <w:ind w:left="227" w:right="13"/>
        <w:rPr>
          <w:szCs w:val="24"/>
        </w:rPr>
      </w:pPr>
      <w:r w:rsidRPr="00D016A5">
        <w:rPr>
          <w:szCs w:val="24"/>
        </w:rPr>
        <w:t xml:space="preserve">The Senate Banking, Finance and Insurance Committee held an informational hearing in February 2008 on the topic of life settlement contracts. A life settlement is a financial transaction in which an owner of a life insurance policy sells the policy to a third party for more than the cash value offered by the life insurance company. The purchaser becomes the new beneficiary of the policy at maturity and is responsible for all subsequent premium payments. Capital from hedge funds, investment banks, pension funds, and other sources in search of higher returns are flowing into the life settlement market. </w:t>
      </w:r>
    </w:p>
    <w:p w:rsidR="00120C9F" w:rsidRPr="00D016A5" w:rsidRDefault="00126BBC">
      <w:pPr>
        <w:spacing w:after="0" w:line="259" w:lineRule="auto"/>
        <w:ind w:left="100" w:firstLine="0"/>
        <w:rPr>
          <w:szCs w:val="24"/>
        </w:rPr>
      </w:pPr>
      <w:r w:rsidRPr="00D016A5">
        <w:rPr>
          <w:rFonts w:ascii="Calibri" w:eastAsia="Calibri" w:hAnsi="Calibri" w:cs="Calibri"/>
          <w:szCs w:val="24"/>
        </w:rPr>
        <w:t xml:space="preserve"> </w:t>
      </w:r>
    </w:p>
    <w:p w:rsidR="00120C9F" w:rsidRPr="00D016A5" w:rsidRDefault="00126BBC">
      <w:pPr>
        <w:spacing w:after="0" w:line="238" w:lineRule="auto"/>
        <w:ind w:left="227" w:right="13"/>
        <w:rPr>
          <w:szCs w:val="24"/>
        </w:rPr>
      </w:pPr>
      <w:r w:rsidRPr="00D016A5">
        <w:rPr>
          <w:szCs w:val="24"/>
        </w:rPr>
        <w:t xml:space="preserve">Senior citizens are the primary market for life settlements. This can include instances when seniors </w:t>
      </w:r>
      <w:r w:rsidR="00AB02D9" w:rsidRPr="00D016A5">
        <w:rPr>
          <w:szCs w:val="24"/>
        </w:rPr>
        <w:t xml:space="preserve">were otherwise </w:t>
      </w:r>
      <w:r w:rsidRPr="00D016A5">
        <w:rPr>
          <w:szCs w:val="24"/>
        </w:rPr>
        <w:t xml:space="preserve">planning to surrender their life insurance or let it lapse. According to marketing from the life settlement industry, other reasons for seniors to sell their policies include the use of the proceeds to purchase a new life insurance policy or a long-term care contract, collect immediate cash, make a gift to a family member, pay divorce costs, and obtain funds for other investments. </w:t>
      </w:r>
    </w:p>
    <w:p w:rsidR="00120C9F" w:rsidRDefault="00126BBC">
      <w:pPr>
        <w:spacing w:after="0" w:line="259" w:lineRule="auto"/>
        <w:ind w:left="100" w:firstLine="0"/>
      </w:pPr>
      <w:r>
        <w:rPr>
          <w:rFonts w:ascii="Calibri" w:eastAsia="Calibri" w:hAnsi="Calibri" w:cs="Calibri"/>
        </w:rPr>
        <w:t xml:space="preserve"> </w:t>
      </w:r>
    </w:p>
    <w:p w:rsidR="00D016A5" w:rsidRDefault="00126BBC">
      <w:pPr>
        <w:pStyle w:val="Heading3"/>
        <w:ind w:left="243"/>
      </w:pPr>
      <w:r>
        <w:t>Life Settlements</w:t>
      </w:r>
    </w:p>
    <w:p w:rsidR="00120C9F" w:rsidRDefault="00126BBC">
      <w:pPr>
        <w:pStyle w:val="Heading3"/>
        <w:ind w:left="243"/>
      </w:pPr>
      <w:r>
        <w:rPr>
          <w:b w:val="0"/>
        </w:rPr>
        <w:t xml:space="preserve"> </w:t>
      </w:r>
    </w:p>
    <w:p w:rsidR="00120C9F" w:rsidRPr="00D016A5" w:rsidRDefault="00126BBC">
      <w:pPr>
        <w:spacing w:after="0" w:line="238" w:lineRule="auto"/>
        <w:ind w:left="227" w:right="13"/>
        <w:rPr>
          <w:szCs w:val="24"/>
        </w:rPr>
      </w:pPr>
      <w:r w:rsidRPr="00D016A5">
        <w:rPr>
          <w:szCs w:val="24"/>
        </w:rPr>
        <w:t xml:space="preserve">The life settlement market grew out of the </w:t>
      </w:r>
      <w:proofErr w:type="spellStart"/>
      <w:r w:rsidRPr="00D016A5">
        <w:rPr>
          <w:szCs w:val="24"/>
        </w:rPr>
        <w:t>viaticals</w:t>
      </w:r>
      <w:proofErr w:type="spellEnd"/>
      <w:r w:rsidRPr="00D016A5">
        <w:rPr>
          <w:szCs w:val="24"/>
        </w:rPr>
        <w:t xml:space="preserve"> market that developed in the 1980s in response to the AIDS crisis.</w:t>
      </w:r>
      <w:r w:rsidR="00D016A5">
        <w:rPr>
          <w:szCs w:val="24"/>
        </w:rPr>
        <w:t xml:space="preserve"> </w:t>
      </w:r>
      <w:r w:rsidRPr="00D016A5">
        <w:rPr>
          <w:szCs w:val="24"/>
        </w:rPr>
        <w:t xml:space="preserve">Viatical settlements involved the sale of life insurance policies by persons facing a life expectancy of 24 months or less, for an amount less than the death benefit but more than the cash surrender value, to pay for end-of-life care. The desperate circumstances of the sellers raised the potential for abuse, and </w:t>
      </w:r>
      <w:r w:rsidR="00D016A5">
        <w:rPr>
          <w:szCs w:val="24"/>
        </w:rPr>
        <w:t xml:space="preserve">in 1990 </w:t>
      </w:r>
      <w:r w:rsidRPr="00D016A5">
        <w:rPr>
          <w:szCs w:val="24"/>
        </w:rPr>
        <w:t xml:space="preserve">the Legislature enacted legislation to regulate viatical sales. In that legislation, anyone selling viatical settlements had be licensed and provide disclosures to the seller, including possible alternatives to settlement, possible tax consequences, and issues relating to the confidentiality of medical information. The viatical market largely evaporated after medical advances dramatically altered the life expectancy of an AIDS diagnosis. </w:t>
      </w:r>
    </w:p>
    <w:p w:rsidR="00120C9F" w:rsidRDefault="00126BBC">
      <w:pPr>
        <w:spacing w:after="0" w:line="259" w:lineRule="auto"/>
        <w:ind w:left="100" w:firstLine="0"/>
      </w:pPr>
      <w:r>
        <w:rPr>
          <w:rFonts w:ascii="Calibri" w:eastAsia="Calibri" w:hAnsi="Calibri" w:cs="Calibri"/>
        </w:rPr>
        <w:t xml:space="preserve"> </w:t>
      </w:r>
    </w:p>
    <w:p w:rsidR="00D016A5" w:rsidRDefault="00126BBC" w:rsidP="002668E4">
      <w:pPr>
        <w:spacing w:after="0" w:line="238" w:lineRule="auto"/>
        <w:ind w:left="227" w:right="13"/>
        <w:rPr>
          <w:sz w:val="23"/>
        </w:rPr>
      </w:pPr>
      <w:r>
        <w:rPr>
          <w:sz w:val="23"/>
        </w:rPr>
        <w:t xml:space="preserve">In 2001, a significant number of life settlement providers started purchasing policies for their investment portfolios using institutional capital. The arrival of well-funded corporate entities transformed the </w:t>
      </w:r>
    </w:p>
    <w:p w:rsidR="00D016A5" w:rsidRDefault="00D016A5" w:rsidP="002668E4">
      <w:pPr>
        <w:spacing w:after="0" w:line="238" w:lineRule="auto"/>
        <w:ind w:left="227" w:right="13"/>
        <w:rPr>
          <w:sz w:val="23"/>
        </w:rPr>
      </w:pPr>
    </w:p>
    <w:p w:rsidR="00120C9F" w:rsidRDefault="00126BBC" w:rsidP="002668E4">
      <w:pPr>
        <w:spacing w:after="0" w:line="238" w:lineRule="auto"/>
        <w:ind w:left="227" w:right="13"/>
      </w:pPr>
      <w:r>
        <w:rPr>
          <w:sz w:val="23"/>
        </w:rPr>
        <w:t xml:space="preserve">settlement concept into a wealth management tool, and began driving a rapid market expansion. Both the National Association of Insurance Commissioners (NAIC) and the National Conference of Insurance Legislators (NCOIL) produced model acts to regulate life settlements. California adopted comprehensive life settlement legislation based </w:t>
      </w:r>
      <w:r w:rsidR="00145F4D">
        <w:rPr>
          <w:sz w:val="23"/>
        </w:rPr>
        <w:t xml:space="preserve">more </w:t>
      </w:r>
      <w:r>
        <w:rPr>
          <w:sz w:val="23"/>
        </w:rPr>
        <w:t>upon the NCOIL version</w:t>
      </w:r>
      <w:r w:rsidR="00145F4D">
        <w:rPr>
          <w:sz w:val="23"/>
        </w:rPr>
        <w:t xml:space="preserve">, including its provision </w:t>
      </w:r>
      <w:r>
        <w:rPr>
          <w:sz w:val="23"/>
        </w:rPr>
        <w:t xml:space="preserve"> </w:t>
      </w:r>
      <w:r w:rsidR="00145F4D">
        <w:rPr>
          <w:sz w:val="23"/>
        </w:rPr>
        <w:t xml:space="preserve">allowing for the purchase of a policy in a life settlement transaction after two years since the policy was first contracted, as opposed to the NAIC’s required wait of five years. </w:t>
      </w:r>
      <w:r>
        <w:rPr>
          <w:sz w:val="23"/>
        </w:rPr>
        <w:t>The law, SB 98, regulate</w:t>
      </w:r>
      <w:r w:rsidR="00145F4D">
        <w:rPr>
          <w:sz w:val="23"/>
        </w:rPr>
        <w:t>d</w:t>
      </w:r>
      <w:r>
        <w:rPr>
          <w:sz w:val="23"/>
        </w:rPr>
        <w:t xml:space="preserve"> life settlement transactions effective July 1, 2010. The California Department of Insurance has also adopted life settlement regulations, which can be found </w:t>
      </w:r>
      <w:r w:rsidR="00D016A5">
        <w:rPr>
          <w:sz w:val="23"/>
        </w:rPr>
        <w:t>in</w:t>
      </w:r>
      <w:r>
        <w:rPr>
          <w:sz w:val="23"/>
        </w:rPr>
        <w:t xml:space="preserve"> Title 10, California Code of Regulations, </w:t>
      </w:r>
      <w:r w:rsidR="00D016A5">
        <w:rPr>
          <w:sz w:val="23"/>
        </w:rPr>
        <w:t>s</w:t>
      </w:r>
      <w:r>
        <w:rPr>
          <w:sz w:val="23"/>
        </w:rPr>
        <w:t xml:space="preserve">ection 2548.2 et seq. </w:t>
      </w:r>
    </w:p>
    <w:p w:rsidR="00145F4D" w:rsidRDefault="00126BBC">
      <w:pPr>
        <w:pStyle w:val="Heading3"/>
        <w:tabs>
          <w:tab w:val="center" w:pos="308"/>
          <w:tab w:val="center" w:pos="2582"/>
        </w:tabs>
        <w:ind w:left="0" w:firstLine="0"/>
        <w:rPr>
          <w:rFonts w:ascii="Calibri" w:eastAsia="Calibri" w:hAnsi="Calibri" w:cs="Calibri"/>
          <w:b w:val="0"/>
          <w:sz w:val="22"/>
        </w:rPr>
      </w:pPr>
      <w:r>
        <w:rPr>
          <w:rFonts w:ascii="Calibri" w:eastAsia="Calibri" w:hAnsi="Calibri" w:cs="Calibri"/>
          <w:b w:val="0"/>
          <w:sz w:val="22"/>
        </w:rPr>
        <w:tab/>
      </w:r>
    </w:p>
    <w:p w:rsidR="00120C9F" w:rsidRDefault="00126BBC">
      <w:pPr>
        <w:pStyle w:val="Heading3"/>
        <w:tabs>
          <w:tab w:val="center" w:pos="308"/>
          <w:tab w:val="center" w:pos="2582"/>
        </w:tabs>
        <w:ind w:left="0" w:firstLine="0"/>
      </w:pPr>
      <w:r>
        <w:t xml:space="preserve">I. </w:t>
      </w:r>
      <w:r>
        <w:tab/>
        <w:t>Introduction to Life Settlements</w:t>
      </w:r>
      <w:r>
        <w:rPr>
          <w:b w:val="0"/>
        </w:rPr>
        <w:t xml:space="preserve"> </w:t>
      </w:r>
    </w:p>
    <w:p w:rsidR="00120C9F" w:rsidRDefault="00126BBC">
      <w:pPr>
        <w:numPr>
          <w:ilvl w:val="0"/>
          <w:numId w:val="2"/>
        </w:numPr>
        <w:ind w:left="1661" w:right="4" w:hanging="709"/>
      </w:pPr>
      <w:r>
        <w:t xml:space="preserve">Basic overview of life insurance &amp; purpose </w:t>
      </w:r>
    </w:p>
    <w:p w:rsidR="00120C9F" w:rsidRDefault="00126BBC">
      <w:pPr>
        <w:numPr>
          <w:ilvl w:val="1"/>
          <w:numId w:val="2"/>
        </w:numPr>
        <w:ind w:left="2366" w:right="4" w:hanging="709"/>
      </w:pPr>
      <w:r>
        <w:t xml:space="preserve">Reasons for buying life insurance </w:t>
      </w:r>
    </w:p>
    <w:p w:rsidR="00120C9F" w:rsidRDefault="00126BBC">
      <w:pPr>
        <w:numPr>
          <w:ilvl w:val="1"/>
          <w:numId w:val="2"/>
        </w:numPr>
        <w:ind w:left="2366" w:right="4" w:hanging="709"/>
      </w:pPr>
      <w:r>
        <w:t xml:space="preserve">Types of life insurance </w:t>
      </w:r>
    </w:p>
    <w:p w:rsidR="00120C9F" w:rsidRDefault="00126BBC">
      <w:pPr>
        <w:numPr>
          <w:ilvl w:val="2"/>
          <w:numId w:val="2"/>
        </w:numPr>
        <w:ind w:right="4" w:hanging="708"/>
      </w:pPr>
      <w:r>
        <w:t xml:space="preserve">Term </w:t>
      </w:r>
    </w:p>
    <w:p w:rsidR="00120C9F" w:rsidRDefault="00126BBC">
      <w:pPr>
        <w:numPr>
          <w:ilvl w:val="2"/>
          <w:numId w:val="2"/>
        </w:numPr>
        <w:ind w:right="4" w:hanging="708"/>
      </w:pPr>
      <w:r>
        <w:t xml:space="preserve">Permanent </w:t>
      </w:r>
    </w:p>
    <w:p w:rsidR="00120C9F" w:rsidRDefault="00126BBC">
      <w:pPr>
        <w:numPr>
          <w:ilvl w:val="1"/>
          <w:numId w:val="2"/>
        </w:numPr>
        <w:ind w:left="2366" w:right="4" w:hanging="709"/>
      </w:pPr>
      <w:r>
        <w:t xml:space="preserve">Insurable interest </w:t>
      </w:r>
    </w:p>
    <w:p w:rsidR="00120C9F" w:rsidRDefault="00126BBC">
      <w:pPr>
        <w:numPr>
          <w:ilvl w:val="0"/>
          <w:numId w:val="2"/>
        </w:numPr>
        <w:ind w:left="1661" w:right="4" w:hanging="709"/>
      </w:pPr>
      <w:r>
        <w:t xml:space="preserve">History and evolution of the life settlement industry </w:t>
      </w:r>
    </w:p>
    <w:p w:rsidR="00120C9F" w:rsidRDefault="00126BBC">
      <w:pPr>
        <w:numPr>
          <w:ilvl w:val="1"/>
          <w:numId w:val="2"/>
        </w:numPr>
        <w:ind w:left="2366" w:right="4" w:hanging="709"/>
      </w:pPr>
      <w:r>
        <w:t xml:space="preserve">Industry language v. statutory language </w:t>
      </w:r>
    </w:p>
    <w:p w:rsidR="00120C9F" w:rsidRDefault="00126BBC">
      <w:pPr>
        <w:numPr>
          <w:ilvl w:val="1"/>
          <w:numId w:val="2"/>
        </w:numPr>
        <w:ind w:left="2366" w:right="4" w:hanging="709"/>
      </w:pPr>
      <w:r>
        <w:t xml:space="preserve">Describe participants’ roles </w:t>
      </w:r>
      <w:r w:rsidR="00145F4D">
        <w:t>in</w:t>
      </w:r>
      <w:r>
        <w:t xml:space="preserve"> the settlement transaction </w:t>
      </w:r>
    </w:p>
    <w:p w:rsidR="00145F4D" w:rsidRDefault="00126BBC">
      <w:pPr>
        <w:numPr>
          <w:ilvl w:val="1"/>
          <w:numId w:val="2"/>
        </w:numPr>
        <w:ind w:left="2366" w:right="4" w:hanging="709"/>
      </w:pPr>
      <w:r>
        <w:t>Viatical settlements, life settlements, and stranger originated life insurance (STOLI) defined</w:t>
      </w:r>
    </w:p>
    <w:p w:rsidR="00120C9F" w:rsidRDefault="00145F4D">
      <w:pPr>
        <w:numPr>
          <w:ilvl w:val="1"/>
          <w:numId w:val="2"/>
        </w:numPr>
        <w:ind w:left="2366" w:right="4" w:hanging="709"/>
      </w:pPr>
      <w:r>
        <w:t>Retained benefit sales.</w:t>
      </w:r>
      <w:r w:rsidR="00126BBC">
        <w:t xml:space="preserve"> </w:t>
      </w:r>
    </w:p>
    <w:p w:rsidR="00120C9F" w:rsidRDefault="00126BBC">
      <w:pPr>
        <w:numPr>
          <w:ilvl w:val="1"/>
          <w:numId w:val="2"/>
        </w:numPr>
        <w:ind w:left="2366" w:right="4" w:hanging="709"/>
      </w:pPr>
      <w:r>
        <w:t xml:space="preserve">Size of industry marketplace/outlook/trends </w:t>
      </w:r>
    </w:p>
    <w:p w:rsidR="00120C9F" w:rsidRDefault="00126BBC">
      <w:pPr>
        <w:tabs>
          <w:tab w:val="center" w:pos="1032"/>
          <w:tab w:val="center" w:pos="4637"/>
        </w:tabs>
        <w:ind w:left="0" w:firstLine="0"/>
      </w:pPr>
      <w:r>
        <w:rPr>
          <w:rFonts w:ascii="Calibri" w:eastAsia="Calibri" w:hAnsi="Calibri" w:cs="Calibri"/>
          <w:sz w:val="22"/>
        </w:rPr>
        <w:tab/>
      </w:r>
      <w:r>
        <w:t xml:space="preserve">C </w:t>
      </w:r>
      <w:r>
        <w:tab/>
        <w:t xml:space="preserve">The impact of life settlements on the life insurance companies </w:t>
      </w:r>
    </w:p>
    <w:p w:rsidR="00120C9F" w:rsidRDefault="00126BBC">
      <w:pPr>
        <w:numPr>
          <w:ilvl w:val="0"/>
          <w:numId w:val="3"/>
        </w:numPr>
        <w:ind w:right="4" w:hanging="708"/>
      </w:pPr>
      <w:r>
        <w:t xml:space="preserve">Profitability </w:t>
      </w:r>
    </w:p>
    <w:p w:rsidR="00120C9F" w:rsidRDefault="00126BBC">
      <w:pPr>
        <w:ind w:left="3112" w:right="4" w:hanging="720"/>
      </w:pPr>
      <w:r>
        <w:t xml:space="preserve">a. </w:t>
      </w:r>
      <w:r>
        <w:tab/>
        <w:t xml:space="preserve">Life settlements </w:t>
      </w:r>
      <w:r w:rsidR="00AB02D9">
        <w:t xml:space="preserve">may </w:t>
      </w:r>
      <w:r>
        <w:t xml:space="preserve">have a detrimental (negative) impact on product pricing. Life Insurance companies have designed products with a certain percentage lapsing (terminating without value) or being surrendered prior to payment of a death benefit. When a policy is sold to a third party, it is kept in force until a death benefit is paid out. </w:t>
      </w:r>
    </w:p>
    <w:p w:rsidR="00120C9F" w:rsidRDefault="00126BBC">
      <w:pPr>
        <w:numPr>
          <w:ilvl w:val="0"/>
          <w:numId w:val="3"/>
        </w:numPr>
        <w:ind w:right="4" w:hanging="708"/>
      </w:pPr>
      <w:r>
        <w:t xml:space="preserve">Pricing </w:t>
      </w:r>
    </w:p>
    <w:p w:rsidR="00120C9F" w:rsidRDefault="00126BBC">
      <w:pPr>
        <w:numPr>
          <w:ilvl w:val="0"/>
          <w:numId w:val="4"/>
        </w:numPr>
        <w:ind w:left="1661" w:right="4" w:hanging="709"/>
      </w:pPr>
      <w:r>
        <w:t xml:space="preserve">California SB 98 (statutes and regulations pertaining to life settlements in California) </w:t>
      </w:r>
    </w:p>
    <w:p w:rsidR="00120C9F" w:rsidRDefault="00126BBC">
      <w:pPr>
        <w:numPr>
          <w:ilvl w:val="1"/>
          <w:numId w:val="4"/>
        </w:numPr>
        <w:ind w:right="4" w:hanging="708"/>
      </w:pPr>
      <w:r>
        <w:t xml:space="preserve">Those brokering life settlements will need to be licensed </w:t>
      </w:r>
    </w:p>
    <w:p w:rsidR="00120C9F" w:rsidRDefault="00126BBC">
      <w:pPr>
        <w:numPr>
          <w:ilvl w:val="1"/>
          <w:numId w:val="4"/>
        </w:numPr>
        <w:spacing w:after="0" w:line="238" w:lineRule="auto"/>
        <w:ind w:right="4" w:hanging="708"/>
      </w:pPr>
      <w:r>
        <w:t xml:space="preserve">Providers who contract directly with the policy owner for the purchase of a life insurance policy are required to be licensed, but not the financing entity supplying the capital </w:t>
      </w:r>
    </w:p>
    <w:p w:rsidR="00120C9F" w:rsidRDefault="00126BBC">
      <w:pPr>
        <w:numPr>
          <w:ilvl w:val="1"/>
          <w:numId w:val="4"/>
        </w:numPr>
        <w:ind w:right="4" w:hanging="708"/>
      </w:pPr>
      <w:r>
        <w:t xml:space="preserve">There are required consumer disclosures at the time of application and at the time of execution of contract </w:t>
      </w:r>
    </w:p>
    <w:p w:rsidR="00120C9F" w:rsidRDefault="00126BBC">
      <w:pPr>
        <w:numPr>
          <w:ilvl w:val="1"/>
          <w:numId w:val="4"/>
        </w:numPr>
        <w:ind w:right="4" w:hanging="708"/>
      </w:pPr>
      <w:r>
        <w:lastRenderedPageBreak/>
        <w:t>The life settlement broker outline is not an exhaustive review</w:t>
      </w:r>
      <w:r w:rsidR="00AB02D9">
        <w:t>,</w:t>
      </w:r>
      <w:r>
        <w:t xml:space="preserve"> and familiarity with SB 98 and amended California Insurance Code </w:t>
      </w:r>
      <w:r w:rsidR="00D016A5">
        <w:t>s</w:t>
      </w:r>
      <w:r>
        <w:t xml:space="preserve">ections 10110.1(d) and </w:t>
      </w:r>
    </w:p>
    <w:p w:rsidR="00120C9F" w:rsidRDefault="00126BBC">
      <w:pPr>
        <w:ind w:left="2402" w:right="4"/>
      </w:pPr>
      <w:r>
        <w:t>(e), 10113.1, 10113.2</w:t>
      </w:r>
      <w:r w:rsidR="00D016A5">
        <w:t>,</w:t>
      </w:r>
      <w:r w:rsidR="00AB02D9">
        <w:t xml:space="preserve"> and </w:t>
      </w:r>
      <w:r>
        <w:t>10113.3</w:t>
      </w:r>
      <w:r w:rsidR="00AB02D9">
        <w:t xml:space="preserve"> </w:t>
      </w:r>
      <w:r>
        <w:t xml:space="preserve">is mandatory for all participants in the transaction. Life settlement brokers are also required to be familiar with the Department of Insurance’s Life Settlement Regulations. </w:t>
      </w:r>
    </w:p>
    <w:p w:rsidR="00120C9F" w:rsidRDefault="00126BBC" w:rsidP="00D016A5">
      <w:pPr>
        <w:numPr>
          <w:ilvl w:val="0"/>
          <w:numId w:val="4"/>
        </w:numPr>
        <w:ind w:left="1661" w:right="4" w:hanging="709"/>
      </w:pPr>
      <w:r>
        <w:t xml:space="preserve">15-Hour Life Settlement Broker Outline Definition of Terms – Attachment I </w:t>
      </w:r>
    </w:p>
    <w:p w:rsidR="00120C9F" w:rsidRDefault="00126BBC">
      <w:pPr>
        <w:pStyle w:val="Heading3"/>
        <w:tabs>
          <w:tab w:val="center" w:pos="355"/>
          <w:tab w:val="center" w:pos="2030"/>
        </w:tabs>
        <w:ind w:left="0" w:firstLine="0"/>
      </w:pPr>
      <w:r>
        <w:rPr>
          <w:rFonts w:ascii="Calibri" w:eastAsia="Calibri" w:hAnsi="Calibri" w:cs="Calibri"/>
          <w:b w:val="0"/>
          <w:sz w:val="22"/>
        </w:rPr>
        <w:tab/>
      </w:r>
      <w:r>
        <w:t xml:space="preserve">II. </w:t>
      </w:r>
      <w:r>
        <w:tab/>
        <w:t>Legal Considerations</w:t>
      </w:r>
      <w:r>
        <w:rPr>
          <w:b w:val="0"/>
        </w:rPr>
        <w:t xml:space="preserve"> </w:t>
      </w:r>
    </w:p>
    <w:p w:rsidR="00120C9F" w:rsidRDefault="00126BBC">
      <w:pPr>
        <w:numPr>
          <w:ilvl w:val="0"/>
          <w:numId w:val="5"/>
        </w:numPr>
        <w:ind w:right="4" w:hanging="709"/>
      </w:pPr>
      <w:r>
        <w:t xml:space="preserve">Insurable interest </w:t>
      </w:r>
    </w:p>
    <w:p w:rsidR="00120C9F" w:rsidRDefault="00126BBC">
      <w:pPr>
        <w:numPr>
          <w:ilvl w:val="0"/>
          <w:numId w:val="5"/>
        </w:numPr>
        <w:ind w:right="4" w:hanging="709"/>
      </w:pPr>
      <w:r>
        <w:t xml:space="preserve">Legal risk - Can a broker or agent (or anyone else) be sued by beneficiaries? </w:t>
      </w:r>
    </w:p>
    <w:p w:rsidR="00120C9F" w:rsidRDefault="00126BBC">
      <w:pPr>
        <w:numPr>
          <w:ilvl w:val="0"/>
          <w:numId w:val="5"/>
        </w:numPr>
        <w:ind w:right="4" w:hanging="709"/>
      </w:pPr>
      <w:r>
        <w:t xml:space="preserve">Regulatory risk - Will further regulations impact a transaction? </w:t>
      </w:r>
    </w:p>
    <w:p w:rsidR="00120C9F" w:rsidRDefault="00126BBC">
      <w:pPr>
        <w:numPr>
          <w:ilvl w:val="0"/>
          <w:numId w:val="5"/>
        </w:numPr>
        <w:ind w:right="4" w:hanging="709"/>
      </w:pPr>
      <w:r>
        <w:t xml:space="preserve">Other litigation risk (from Issuing Life Insurance Company) - </w:t>
      </w:r>
      <w:r w:rsidR="00D016A5">
        <w:t>C</w:t>
      </w:r>
      <w:r>
        <w:t xml:space="preserve">laim denial impact </w:t>
      </w:r>
    </w:p>
    <w:p w:rsidR="00120C9F" w:rsidRDefault="00126BBC">
      <w:pPr>
        <w:pStyle w:val="Heading3"/>
        <w:tabs>
          <w:tab w:val="center" w:pos="402"/>
          <w:tab w:val="center" w:pos="2166"/>
        </w:tabs>
        <w:ind w:left="0" w:firstLine="0"/>
      </w:pPr>
      <w:r>
        <w:rPr>
          <w:rFonts w:ascii="Calibri" w:eastAsia="Calibri" w:hAnsi="Calibri" w:cs="Calibri"/>
          <w:b w:val="0"/>
          <w:sz w:val="22"/>
        </w:rPr>
        <w:tab/>
      </w:r>
      <w:r>
        <w:t xml:space="preserve">III. </w:t>
      </w:r>
      <w:r>
        <w:tab/>
        <w:t>Life Settlement Brokers</w:t>
      </w:r>
      <w:r>
        <w:rPr>
          <w:b w:val="0"/>
        </w:rPr>
        <w:t xml:space="preserve"> </w:t>
      </w:r>
    </w:p>
    <w:p w:rsidR="00120C9F" w:rsidRDefault="00126BBC">
      <w:pPr>
        <w:numPr>
          <w:ilvl w:val="0"/>
          <w:numId w:val="6"/>
        </w:numPr>
        <w:ind w:left="1661" w:right="4" w:hanging="709"/>
      </w:pPr>
      <w:r>
        <w:t xml:space="preserve">Who can broker life settlements in California? </w:t>
      </w:r>
    </w:p>
    <w:p w:rsidR="00120C9F" w:rsidRDefault="00126BBC">
      <w:pPr>
        <w:numPr>
          <w:ilvl w:val="1"/>
          <w:numId w:val="6"/>
        </w:numPr>
        <w:ind w:right="4" w:hanging="708"/>
      </w:pPr>
      <w:r>
        <w:t xml:space="preserve">Life agents who have been licensed at least one year and who have complied with the California Department of Insurance’s fee and notification requirements </w:t>
      </w:r>
    </w:p>
    <w:p w:rsidR="00120C9F" w:rsidRDefault="00126BBC">
      <w:pPr>
        <w:numPr>
          <w:ilvl w:val="1"/>
          <w:numId w:val="6"/>
        </w:numPr>
        <w:ind w:right="4" w:hanging="708"/>
      </w:pPr>
      <w:r>
        <w:t xml:space="preserve">Licensed life settlement brokers </w:t>
      </w:r>
    </w:p>
    <w:p w:rsidR="00120C9F" w:rsidRDefault="00126BBC">
      <w:pPr>
        <w:numPr>
          <w:ilvl w:val="1"/>
          <w:numId w:val="6"/>
        </w:numPr>
        <w:ind w:right="4" w:hanging="708"/>
      </w:pPr>
      <w:r>
        <w:t>Attorneys, CPAs</w:t>
      </w:r>
      <w:r w:rsidR="00D016A5">
        <w:t>,</w:t>
      </w:r>
      <w:r>
        <w:t xml:space="preserve"> and financial planners </w:t>
      </w:r>
    </w:p>
    <w:p w:rsidR="00120C9F" w:rsidRDefault="00126BBC">
      <w:pPr>
        <w:numPr>
          <w:ilvl w:val="0"/>
          <w:numId w:val="6"/>
        </w:numPr>
        <w:ind w:left="1661" w:right="4" w:hanging="709"/>
      </w:pPr>
      <w:r>
        <w:t xml:space="preserve">Responsibilities of life settlement broker </w:t>
      </w:r>
    </w:p>
    <w:p w:rsidR="00120C9F" w:rsidRDefault="00126BBC">
      <w:pPr>
        <w:numPr>
          <w:ilvl w:val="1"/>
          <w:numId w:val="6"/>
        </w:numPr>
        <w:ind w:right="4" w:hanging="708"/>
      </w:pPr>
      <w:r>
        <w:t xml:space="preserve">Disclosures to policy owner </w:t>
      </w:r>
    </w:p>
    <w:p w:rsidR="00120C9F" w:rsidRDefault="00126BBC">
      <w:pPr>
        <w:numPr>
          <w:ilvl w:val="2"/>
          <w:numId w:val="6"/>
        </w:numPr>
        <w:ind w:right="4" w:hanging="708"/>
      </w:pPr>
      <w:r>
        <w:t xml:space="preserve">Disclosures at the time of application for a life settlement </w:t>
      </w:r>
    </w:p>
    <w:p w:rsidR="00120C9F" w:rsidRDefault="00126BBC">
      <w:pPr>
        <w:numPr>
          <w:ilvl w:val="2"/>
          <w:numId w:val="6"/>
        </w:numPr>
        <w:ind w:right="4" w:hanging="708"/>
      </w:pPr>
      <w:r>
        <w:t xml:space="preserve">Disclosures to be provided before a life settlement contract is executed </w:t>
      </w:r>
    </w:p>
    <w:p w:rsidR="00120C9F" w:rsidRDefault="00126BBC">
      <w:pPr>
        <w:numPr>
          <w:ilvl w:val="2"/>
          <w:numId w:val="6"/>
        </w:numPr>
        <w:ind w:right="4" w:hanging="708"/>
      </w:pPr>
      <w:r>
        <w:t xml:space="preserve">Special rules about commission disclosure (technically the provider’s responsibility under SB 98) </w:t>
      </w:r>
    </w:p>
    <w:p w:rsidR="00120C9F" w:rsidRDefault="00126BBC">
      <w:pPr>
        <w:numPr>
          <w:ilvl w:val="2"/>
          <w:numId w:val="6"/>
        </w:numPr>
        <w:ind w:right="4" w:hanging="708"/>
      </w:pPr>
      <w:r>
        <w:t xml:space="preserve">Compensation disclosure by life settlement provider </w:t>
      </w:r>
    </w:p>
    <w:p w:rsidR="00120C9F" w:rsidRDefault="00126BBC">
      <w:pPr>
        <w:numPr>
          <w:ilvl w:val="2"/>
          <w:numId w:val="6"/>
        </w:numPr>
        <w:ind w:right="4" w:hanging="708"/>
      </w:pPr>
      <w:r>
        <w:t xml:space="preserve">Multiple life expectancy reports </w:t>
      </w:r>
    </w:p>
    <w:p w:rsidR="00120C9F" w:rsidRDefault="00126BBC">
      <w:pPr>
        <w:numPr>
          <w:ilvl w:val="1"/>
          <w:numId w:val="6"/>
        </w:numPr>
        <w:ind w:right="4" w:hanging="708"/>
      </w:pPr>
      <w:r>
        <w:t xml:space="preserve">Brochure(s) </w:t>
      </w:r>
    </w:p>
    <w:p w:rsidR="00120C9F" w:rsidRDefault="00126BBC">
      <w:pPr>
        <w:numPr>
          <w:ilvl w:val="1"/>
          <w:numId w:val="6"/>
        </w:numPr>
        <w:ind w:right="4" w:hanging="708"/>
      </w:pPr>
      <w:r>
        <w:t xml:space="preserve">Special duties to policy owner </w:t>
      </w:r>
    </w:p>
    <w:p w:rsidR="00120C9F" w:rsidRDefault="00126BBC">
      <w:pPr>
        <w:numPr>
          <w:ilvl w:val="2"/>
          <w:numId w:val="6"/>
        </w:numPr>
        <w:ind w:right="4" w:hanging="708"/>
      </w:pPr>
      <w:r>
        <w:t xml:space="preserve">Fiduciary </w:t>
      </w:r>
    </w:p>
    <w:p w:rsidR="00120C9F" w:rsidRDefault="00126BBC">
      <w:pPr>
        <w:numPr>
          <w:ilvl w:val="2"/>
          <w:numId w:val="6"/>
        </w:numPr>
        <w:ind w:right="4" w:hanging="708"/>
      </w:pPr>
      <w:r>
        <w:t xml:space="preserve">Principal/agent </w:t>
      </w:r>
    </w:p>
    <w:p w:rsidR="00120C9F" w:rsidRDefault="00126BBC">
      <w:pPr>
        <w:numPr>
          <w:ilvl w:val="2"/>
          <w:numId w:val="6"/>
        </w:numPr>
        <w:ind w:right="4" w:hanging="708"/>
      </w:pPr>
      <w:r>
        <w:t xml:space="preserve">Contract </w:t>
      </w:r>
    </w:p>
    <w:p w:rsidR="00120C9F" w:rsidRDefault="00126BBC">
      <w:pPr>
        <w:numPr>
          <w:ilvl w:val="1"/>
          <w:numId w:val="6"/>
        </w:numPr>
        <w:ind w:right="4" w:hanging="708"/>
      </w:pPr>
      <w:r>
        <w:t xml:space="preserve">Disclosure of providers’ offers </w:t>
      </w:r>
    </w:p>
    <w:p w:rsidR="00120C9F" w:rsidRDefault="00126BBC">
      <w:pPr>
        <w:numPr>
          <w:ilvl w:val="1"/>
          <w:numId w:val="6"/>
        </w:numPr>
        <w:ind w:right="4" w:hanging="708"/>
      </w:pPr>
      <w:r>
        <w:t xml:space="preserve">Potential liabilities for the licensed life settlement broker agent </w:t>
      </w:r>
    </w:p>
    <w:p w:rsidR="00120C9F" w:rsidRDefault="00126BBC">
      <w:pPr>
        <w:numPr>
          <w:ilvl w:val="0"/>
          <w:numId w:val="6"/>
        </w:numPr>
        <w:ind w:left="1661" w:right="4" w:hanging="709"/>
      </w:pPr>
      <w:r>
        <w:t xml:space="preserve">Enforcement and Consequences </w:t>
      </w:r>
    </w:p>
    <w:p w:rsidR="00120C9F" w:rsidRDefault="00126BBC">
      <w:pPr>
        <w:numPr>
          <w:ilvl w:val="1"/>
          <w:numId w:val="6"/>
        </w:numPr>
        <w:ind w:right="4" w:hanging="708"/>
      </w:pPr>
      <w:r>
        <w:t xml:space="preserve">Violations of the California Insurance Code </w:t>
      </w:r>
    </w:p>
    <w:p w:rsidR="00120C9F" w:rsidRDefault="00126BBC">
      <w:pPr>
        <w:numPr>
          <w:ilvl w:val="1"/>
          <w:numId w:val="6"/>
        </w:numPr>
        <w:ind w:right="4" w:hanging="708"/>
      </w:pPr>
      <w:r>
        <w:t xml:space="preserve">Penalties </w:t>
      </w:r>
    </w:p>
    <w:p w:rsidR="00120C9F" w:rsidRDefault="00126BBC">
      <w:pPr>
        <w:spacing w:after="0" w:line="259" w:lineRule="auto"/>
        <w:ind w:left="100" w:firstLine="0"/>
      </w:pPr>
      <w:r>
        <w:rPr>
          <w:rFonts w:ascii="Calibri" w:eastAsia="Calibri" w:hAnsi="Calibri" w:cs="Calibri"/>
          <w:sz w:val="26"/>
        </w:rPr>
        <w:t xml:space="preserve"> </w:t>
      </w:r>
    </w:p>
    <w:p w:rsidR="00120C9F" w:rsidRDefault="00126BBC">
      <w:pPr>
        <w:pStyle w:val="Heading3"/>
        <w:tabs>
          <w:tab w:val="center" w:pos="395"/>
          <w:tab w:val="center" w:pos="2276"/>
        </w:tabs>
        <w:ind w:left="0" w:firstLine="0"/>
      </w:pPr>
      <w:r>
        <w:rPr>
          <w:rFonts w:ascii="Calibri" w:eastAsia="Calibri" w:hAnsi="Calibri" w:cs="Calibri"/>
          <w:b w:val="0"/>
          <w:sz w:val="22"/>
        </w:rPr>
        <w:lastRenderedPageBreak/>
        <w:tab/>
      </w:r>
      <w:r>
        <w:t xml:space="preserve">IV. </w:t>
      </w:r>
      <w:r>
        <w:tab/>
        <w:t>Suitability Considerations</w:t>
      </w:r>
      <w:r>
        <w:rPr>
          <w:b w:val="0"/>
        </w:rPr>
        <w:t xml:space="preserve"> </w:t>
      </w:r>
    </w:p>
    <w:p w:rsidR="00120C9F" w:rsidRDefault="00126BBC">
      <w:pPr>
        <w:numPr>
          <w:ilvl w:val="0"/>
          <w:numId w:val="7"/>
        </w:numPr>
        <w:ind w:right="4" w:hanging="709"/>
      </w:pPr>
      <w:r>
        <w:t xml:space="preserve">Insurable interest </w:t>
      </w:r>
    </w:p>
    <w:p w:rsidR="00120C9F" w:rsidRDefault="00126BBC">
      <w:pPr>
        <w:numPr>
          <w:ilvl w:val="0"/>
          <w:numId w:val="7"/>
        </w:numPr>
        <w:ind w:right="4" w:hanging="709"/>
      </w:pPr>
      <w:r>
        <w:t xml:space="preserve">Impact on future insurability </w:t>
      </w:r>
    </w:p>
    <w:p w:rsidR="00120C9F" w:rsidRDefault="00126BBC">
      <w:pPr>
        <w:numPr>
          <w:ilvl w:val="0"/>
          <w:numId w:val="7"/>
        </w:numPr>
        <w:ind w:right="4" w:hanging="709"/>
      </w:pPr>
      <w:r>
        <w:t>Price/</w:t>
      </w:r>
      <w:r w:rsidR="00D016A5">
        <w:t>V</w:t>
      </w:r>
      <w:r>
        <w:t xml:space="preserve">alue risk </w:t>
      </w:r>
    </w:p>
    <w:p w:rsidR="00120C9F" w:rsidRDefault="00126BBC">
      <w:pPr>
        <w:numPr>
          <w:ilvl w:val="1"/>
          <w:numId w:val="7"/>
        </w:numPr>
        <w:ind w:left="2366" w:right="4" w:hanging="709"/>
      </w:pPr>
      <w:r>
        <w:t>Is this the best deal for the client? Would they do better to surrender the policy? This will require a full financial analysis (e.g. using present value and possible tax events</w:t>
      </w:r>
      <w:r w:rsidR="00EA1427">
        <w:t xml:space="preserve">; </w:t>
      </w:r>
      <w:r>
        <w:t>it is strongly recommended that all parties should seek professional tax advice</w:t>
      </w:r>
    </w:p>
    <w:p w:rsidR="00120C9F" w:rsidRDefault="00126BBC">
      <w:pPr>
        <w:numPr>
          <w:ilvl w:val="1"/>
          <w:numId w:val="7"/>
        </w:numPr>
        <w:ind w:left="2366" w:right="4" w:hanging="709"/>
      </w:pPr>
      <w:r>
        <w:t xml:space="preserve">Were all alternatives explored? </w:t>
      </w:r>
    </w:p>
    <w:p w:rsidR="00120C9F" w:rsidRDefault="00126BBC">
      <w:pPr>
        <w:numPr>
          <w:ilvl w:val="0"/>
          <w:numId w:val="7"/>
        </w:numPr>
        <w:ind w:right="4" w:hanging="709"/>
      </w:pPr>
      <w:r>
        <w:t>Discuss tax consequences of life settlements (Internal Revenue Service has issued Revenue Rulings for Income Tax only not changes to Tax Code)</w:t>
      </w:r>
      <w:r w:rsidR="00397C88">
        <w:t xml:space="preserve"> – </w:t>
      </w:r>
      <w:r>
        <w:t xml:space="preserve">Gift Tax &amp; Estate Tax consequences </w:t>
      </w:r>
    </w:p>
    <w:p w:rsidR="00120C9F" w:rsidRDefault="00126BBC">
      <w:pPr>
        <w:numPr>
          <w:ilvl w:val="0"/>
          <w:numId w:val="7"/>
        </w:numPr>
        <w:ind w:right="4" w:hanging="709"/>
      </w:pPr>
      <w:r>
        <w:t xml:space="preserve">Best practices </w:t>
      </w:r>
    </w:p>
    <w:p w:rsidR="00120C9F" w:rsidRDefault="00126BBC">
      <w:pPr>
        <w:numPr>
          <w:ilvl w:val="1"/>
          <w:numId w:val="7"/>
        </w:numPr>
        <w:ind w:left="2366" w:right="4" w:hanging="709"/>
      </w:pPr>
      <w:r>
        <w:t xml:space="preserve">Evaluation of personal needs and financial goals </w:t>
      </w:r>
    </w:p>
    <w:p w:rsidR="00120C9F" w:rsidRDefault="00126BBC">
      <w:pPr>
        <w:numPr>
          <w:ilvl w:val="1"/>
          <w:numId w:val="7"/>
        </w:numPr>
        <w:ind w:left="2366" w:right="4" w:hanging="709"/>
      </w:pPr>
      <w:r>
        <w:t xml:space="preserve">Advantages and disadvantages of life settlements </w:t>
      </w:r>
    </w:p>
    <w:p w:rsidR="00120C9F" w:rsidRDefault="00126BBC">
      <w:pPr>
        <w:numPr>
          <w:ilvl w:val="1"/>
          <w:numId w:val="7"/>
        </w:numPr>
        <w:ind w:left="2366" w:right="4" w:hanging="709"/>
      </w:pPr>
      <w:r>
        <w:t xml:space="preserve">Alternatives to life settlements </w:t>
      </w:r>
    </w:p>
    <w:p w:rsidR="00120C9F" w:rsidRDefault="00126BBC">
      <w:pPr>
        <w:numPr>
          <w:ilvl w:val="1"/>
          <w:numId w:val="7"/>
        </w:numPr>
        <w:ind w:left="2366" w:right="4" w:hanging="709"/>
      </w:pPr>
      <w:r>
        <w:t xml:space="preserve">Cross selling </w:t>
      </w:r>
    </w:p>
    <w:p w:rsidR="00120C9F" w:rsidRDefault="00126BBC">
      <w:pPr>
        <w:numPr>
          <w:ilvl w:val="2"/>
          <w:numId w:val="7"/>
        </w:numPr>
        <w:ind w:left="3101" w:right="4" w:hanging="709"/>
      </w:pPr>
      <w:r>
        <w:t xml:space="preserve">New sales </w:t>
      </w:r>
    </w:p>
    <w:p w:rsidR="00120C9F" w:rsidRDefault="00126BBC">
      <w:pPr>
        <w:numPr>
          <w:ilvl w:val="2"/>
          <w:numId w:val="7"/>
        </w:numPr>
        <w:ind w:left="3101" w:right="4" w:hanging="709"/>
      </w:pPr>
      <w:r>
        <w:t xml:space="preserve">Replacement </w:t>
      </w:r>
    </w:p>
    <w:p w:rsidR="00120C9F" w:rsidRDefault="00126BBC" w:rsidP="00D016A5">
      <w:pPr>
        <w:numPr>
          <w:ilvl w:val="0"/>
          <w:numId w:val="7"/>
        </w:numPr>
        <w:ind w:right="4" w:hanging="709"/>
      </w:pPr>
      <w:r>
        <w:t xml:space="preserve">Personal considerations for the </w:t>
      </w:r>
      <w:r w:rsidR="00EA1427">
        <w:t xml:space="preserve">insured </w:t>
      </w:r>
      <w:r>
        <w:t>(</w:t>
      </w:r>
      <w:r w:rsidR="00145F4D">
        <w:t xml:space="preserve">release of confidential medical information to enable the life settlement transaction and </w:t>
      </w:r>
      <w:r>
        <w:t xml:space="preserve">periodic health status contacts of the insured) </w:t>
      </w:r>
    </w:p>
    <w:p w:rsidR="00120C9F" w:rsidRDefault="00126BBC">
      <w:pPr>
        <w:pStyle w:val="Heading3"/>
        <w:tabs>
          <w:tab w:val="center" w:pos="365"/>
          <w:tab w:val="center" w:pos="2990"/>
        </w:tabs>
        <w:ind w:left="0" w:firstLine="0"/>
      </w:pPr>
      <w:r>
        <w:rPr>
          <w:rFonts w:ascii="Calibri" w:eastAsia="Calibri" w:hAnsi="Calibri" w:cs="Calibri"/>
          <w:b w:val="0"/>
          <w:sz w:val="22"/>
        </w:rPr>
        <w:tab/>
      </w:r>
      <w:r>
        <w:t xml:space="preserve">V. </w:t>
      </w:r>
      <w:r>
        <w:tab/>
        <w:t>Life Settlement for Transaction Process</w:t>
      </w:r>
      <w:r>
        <w:rPr>
          <w:b w:val="0"/>
        </w:rPr>
        <w:t xml:space="preserve"> </w:t>
      </w:r>
    </w:p>
    <w:p w:rsidR="00120C9F" w:rsidRDefault="00126BBC">
      <w:pPr>
        <w:numPr>
          <w:ilvl w:val="0"/>
          <w:numId w:val="8"/>
        </w:numPr>
        <w:ind w:left="1661" w:right="4" w:hanging="709"/>
      </w:pPr>
      <w:r>
        <w:t xml:space="preserve">Describing the typical process </w:t>
      </w:r>
    </w:p>
    <w:p w:rsidR="00120C9F" w:rsidRDefault="00126BBC">
      <w:pPr>
        <w:numPr>
          <w:ilvl w:val="1"/>
          <w:numId w:val="8"/>
        </w:numPr>
        <w:spacing w:after="4" w:line="252" w:lineRule="auto"/>
        <w:ind w:left="2366" w:right="4" w:hanging="709"/>
      </w:pPr>
      <w:r>
        <w:t xml:space="preserve">Application: An application must be submitted along with appropriate documentation such as policy information, medical records, etc. </w:t>
      </w:r>
    </w:p>
    <w:p w:rsidR="00120C9F" w:rsidRDefault="00126BBC">
      <w:pPr>
        <w:numPr>
          <w:ilvl w:val="1"/>
          <w:numId w:val="8"/>
        </w:numPr>
        <w:ind w:left="2366" w:right="4" w:hanging="709"/>
      </w:pPr>
      <w:r>
        <w:t xml:space="preserve">Review: The settlement broker and/or provider/funder review the information and request a life expectancy report by an independent life expectancy firm </w:t>
      </w:r>
    </w:p>
    <w:p w:rsidR="00120C9F" w:rsidRDefault="00126BBC">
      <w:pPr>
        <w:numPr>
          <w:ilvl w:val="1"/>
          <w:numId w:val="8"/>
        </w:numPr>
        <w:ind w:left="2366" w:right="4" w:hanging="709"/>
      </w:pPr>
      <w:r>
        <w:t>Analysis: After the life expectancy report is completed, and the other information reviewed, the provider/funder will determine a fair market value for the policy. Sometimes, there is no value, resulting in no offer</w:t>
      </w:r>
      <w:r w:rsidR="00397C88">
        <w:t>.</w:t>
      </w:r>
      <w:r>
        <w:t xml:space="preserve"> </w:t>
      </w:r>
    </w:p>
    <w:p w:rsidR="00120C9F" w:rsidRDefault="00126BBC">
      <w:pPr>
        <w:numPr>
          <w:ilvl w:val="1"/>
          <w:numId w:val="8"/>
        </w:numPr>
        <w:ind w:left="2366" w:right="4" w:hanging="709"/>
      </w:pPr>
      <w:r>
        <w:t>Offer: The offer is presented to the policy owner (and advisor[s]). A life settlement broker has a fiduciary responsibility to obtain multiple offers, document responses</w:t>
      </w:r>
      <w:r w:rsidR="00397C88">
        <w:t>,</w:t>
      </w:r>
      <w:r>
        <w:t xml:space="preserve"> and present all of them. </w:t>
      </w:r>
    </w:p>
    <w:p w:rsidR="00120C9F" w:rsidRDefault="00126BBC">
      <w:pPr>
        <w:numPr>
          <w:ilvl w:val="1"/>
          <w:numId w:val="8"/>
        </w:numPr>
        <w:ind w:left="2366" w:right="4" w:hanging="709"/>
      </w:pPr>
      <w:r>
        <w:t xml:space="preserve">Offer Acceptance: If an offer is accepted, a "closing package" including formal documentation is sent to the policy owner for review and signature. At this point, funds for the transaction are placed in an escrow account. </w:t>
      </w:r>
    </w:p>
    <w:p w:rsidR="00120C9F" w:rsidRDefault="00126BBC">
      <w:pPr>
        <w:numPr>
          <w:ilvl w:val="1"/>
          <w:numId w:val="8"/>
        </w:numPr>
        <w:ind w:left="2366" w:right="4" w:hanging="709"/>
      </w:pPr>
      <w:r>
        <w:t xml:space="preserve">Transfer of </w:t>
      </w:r>
      <w:r w:rsidR="00397C88">
        <w:t>P</w:t>
      </w:r>
      <w:r>
        <w:t>olicy-</w:t>
      </w:r>
      <w:r w:rsidR="00397C88">
        <w:t>O</w:t>
      </w:r>
      <w:r>
        <w:t xml:space="preserve">wnership: Change of ownership forms are submitted to the insurance company. </w:t>
      </w:r>
    </w:p>
    <w:p w:rsidR="00120C9F" w:rsidRDefault="00126BBC">
      <w:pPr>
        <w:numPr>
          <w:ilvl w:val="1"/>
          <w:numId w:val="8"/>
        </w:numPr>
        <w:ind w:left="2366" w:right="4" w:hanging="709"/>
      </w:pPr>
      <w:r>
        <w:lastRenderedPageBreak/>
        <w:t xml:space="preserve">Funds Release:  The escrow agent releases the funds to the seller (former policy owner) when the insurance company sends written confirmation of the change of ownership. </w:t>
      </w:r>
    </w:p>
    <w:p w:rsidR="00120C9F" w:rsidRDefault="00126BBC">
      <w:pPr>
        <w:numPr>
          <w:ilvl w:val="0"/>
          <w:numId w:val="8"/>
        </w:numPr>
        <w:ind w:left="1661" w:right="4" w:hanging="709"/>
      </w:pPr>
      <w:r>
        <w:t xml:space="preserve">Required Disclosures </w:t>
      </w:r>
    </w:p>
    <w:p w:rsidR="00120C9F" w:rsidRDefault="00126BBC">
      <w:pPr>
        <w:numPr>
          <w:ilvl w:val="1"/>
          <w:numId w:val="8"/>
        </w:numPr>
        <w:ind w:left="2366" w:right="4" w:hanging="709"/>
      </w:pPr>
      <w:r>
        <w:t xml:space="preserve">At time of application </w:t>
      </w:r>
    </w:p>
    <w:p w:rsidR="00120C9F" w:rsidRDefault="00126BBC">
      <w:pPr>
        <w:numPr>
          <w:ilvl w:val="1"/>
          <w:numId w:val="8"/>
        </w:numPr>
        <w:ind w:left="2366" w:right="4" w:hanging="709"/>
      </w:pPr>
      <w:r>
        <w:t xml:space="preserve">At time of </w:t>
      </w:r>
      <w:r w:rsidR="00EA1427">
        <w:t xml:space="preserve"> life settlement contract </w:t>
      </w:r>
      <w:r>
        <w:t xml:space="preserve">execution </w:t>
      </w:r>
    </w:p>
    <w:p w:rsidR="00120C9F" w:rsidRDefault="00126BBC">
      <w:pPr>
        <w:numPr>
          <w:ilvl w:val="2"/>
          <w:numId w:val="8"/>
        </w:numPr>
        <w:ind w:right="4" w:hanging="708"/>
      </w:pPr>
      <w:r>
        <w:t xml:space="preserve">Provider disclosures </w:t>
      </w:r>
    </w:p>
    <w:p w:rsidR="00120C9F" w:rsidRDefault="00126BBC">
      <w:pPr>
        <w:numPr>
          <w:ilvl w:val="2"/>
          <w:numId w:val="8"/>
        </w:numPr>
        <w:ind w:right="4" w:hanging="708"/>
      </w:pPr>
      <w:r>
        <w:t xml:space="preserve">Life settlement broker disclosures </w:t>
      </w:r>
    </w:p>
    <w:p w:rsidR="00120C9F" w:rsidRDefault="00126BBC">
      <w:pPr>
        <w:numPr>
          <w:ilvl w:val="2"/>
          <w:numId w:val="8"/>
        </w:numPr>
        <w:ind w:right="4" w:hanging="708"/>
      </w:pPr>
      <w:r>
        <w:t xml:space="preserve">Life Agent Disclosure Requirements for Sales to Elders – Attachment II </w:t>
      </w:r>
    </w:p>
    <w:p w:rsidR="00120C9F" w:rsidRDefault="00126BBC">
      <w:pPr>
        <w:numPr>
          <w:ilvl w:val="0"/>
          <w:numId w:val="8"/>
        </w:numPr>
        <w:ind w:left="1661" w:right="4" w:hanging="709"/>
      </w:pPr>
      <w:r>
        <w:t xml:space="preserve">Privacy </w:t>
      </w:r>
    </w:p>
    <w:p w:rsidR="00120C9F" w:rsidRDefault="00126BBC">
      <w:pPr>
        <w:numPr>
          <w:ilvl w:val="1"/>
          <w:numId w:val="8"/>
        </w:numPr>
        <w:ind w:left="2366" w:right="4" w:hanging="709"/>
      </w:pPr>
      <w:r>
        <w:t xml:space="preserve">Disclosure of the insured’s identity information that could be used to identify the insured or the insured’s financial or medical condition is only permitted when: </w:t>
      </w:r>
    </w:p>
    <w:p w:rsidR="00120C9F" w:rsidRDefault="00126BBC">
      <w:pPr>
        <w:numPr>
          <w:ilvl w:val="2"/>
          <w:numId w:val="8"/>
        </w:numPr>
        <w:ind w:right="4" w:hanging="708"/>
      </w:pPr>
      <w:r>
        <w:t xml:space="preserve">Necessary to effect a life settlement contract and the owner and insured have provided prior written consent </w:t>
      </w:r>
    </w:p>
    <w:p w:rsidR="00120C9F" w:rsidRDefault="00126BBC">
      <w:pPr>
        <w:numPr>
          <w:ilvl w:val="2"/>
          <w:numId w:val="8"/>
        </w:numPr>
        <w:ind w:right="4" w:hanging="708"/>
      </w:pPr>
      <w:r>
        <w:t xml:space="preserve">Necessary to effectuate the sale of life settlement contracts as investments, provided such sale is conducted in compliance with the applicable securities laws and that the owner and insured have provided prior written consent to disclosure </w:t>
      </w:r>
    </w:p>
    <w:p w:rsidR="00120C9F" w:rsidRDefault="00126BBC">
      <w:pPr>
        <w:numPr>
          <w:ilvl w:val="2"/>
          <w:numId w:val="8"/>
        </w:numPr>
        <w:ind w:right="4" w:hanging="708"/>
      </w:pPr>
      <w:r>
        <w:t xml:space="preserve">Provided in response to an investigation/examination by the </w:t>
      </w:r>
    </w:p>
    <w:p w:rsidR="00120C9F" w:rsidRDefault="00126BBC">
      <w:pPr>
        <w:ind w:left="3122" w:right="4"/>
      </w:pPr>
      <w:r>
        <w:t xml:space="preserve">Commissioner </w:t>
      </w:r>
    </w:p>
    <w:p w:rsidR="00120C9F" w:rsidRDefault="00126BBC">
      <w:pPr>
        <w:numPr>
          <w:ilvl w:val="2"/>
          <w:numId w:val="8"/>
        </w:numPr>
        <w:ind w:right="4" w:hanging="708"/>
      </w:pPr>
      <w:r>
        <w:t xml:space="preserve">A condition to the transfer of a policy by one provider to another provider, and the receiving provider agrees to comply with the Insurance Code's provisions pertaining to confidentiality (See Section </w:t>
      </w:r>
    </w:p>
    <w:p w:rsidR="00120C9F" w:rsidRDefault="00126BBC">
      <w:pPr>
        <w:spacing w:after="4" w:line="252" w:lineRule="auto"/>
        <w:ind w:left="970" w:right="57"/>
        <w:jc w:val="center"/>
      </w:pPr>
      <w:r>
        <w:t xml:space="preserve">791 et seq of the California Insurance Code), or </w:t>
      </w:r>
    </w:p>
    <w:p w:rsidR="00120C9F" w:rsidRDefault="00126BBC" w:rsidP="00D016A5">
      <w:pPr>
        <w:numPr>
          <w:ilvl w:val="2"/>
          <w:numId w:val="8"/>
        </w:numPr>
        <w:ind w:right="4" w:hanging="708"/>
      </w:pPr>
      <w:r>
        <w:t xml:space="preserve">Necessary to allow the provider or broker to make contact for purposes of determining health status of the insured </w:t>
      </w:r>
    </w:p>
    <w:p w:rsidR="00120C9F" w:rsidRDefault="00126BBC">
      <w:pPr>
        <w:pStyle w:val="Heading3"/>
        <w:tabs>
          <w:tab w:val="center" w:pos="395"/>
          <w:tab w:val="center" w:pos="1260"/>
        </w:tabs>
        <w:ind w:left="0" w:firstLine="0"/>
      </w:pPr>
      <w:r>
        <w:rPr>
          <w:rFonts w:ascii="Calibri" w:eastAsia="Calibri" w:hAnsi="Calibri" w:cs="Calibri"/>
          <w:b w:val="0"/>
          <w:sz w:val="22"/>
        </w:rPr>
        <w:tab/>
      </w:r>
      <w:r>
        <w:t xml:space="preserve">VI. </w:t>
      </w:r>
      <w:r>
        <w:tab/>
        <w:t>Fraud</w:t>
      </w:r>
      <w:r>
        <w:rPr>
          <w:b w:val="0"/>
        </w:rPr>
        <w:t xml:space="preserve"> </w:t>
      </w:r>
    </w:p>
    <w:p w:rsidR="00120C9F" w:rsidRDefault="00126BBC">
      <w:pPr>
        <w:numPr>
          <w:ilvl w:val="0"/>
          <w:numId w:val="9"/>
        </w:numPr>
        <w:ind w:right="4" w:hanging="709"/>
      </w:pPr>
      <w:r>
        <w:t xml:space="preserve">Those that could be defrauded </w:t>
      </w:r>
    </w:p>
    <w:p w:rsidR="00120C9F" w:rsidRDefault="0000720A">
      <w:pPr>
        <w:numPr>
          <w:ilvl w:val="1"/>
          <w:numId w:val="9"/>
        </w:numPr>
        <w:ind w:left="2366" w:right="4" w:hanging="709"/>
      </w:pPr>
      <w:r>
        <w:t xml:space="preserve">Insurance </w:t>
      </w:r>
      <w:r w:rsidR="00126BBC">
        <w:t xml:space="preserve">Company </w:t>
      </w:r>
    </w:p>
    <w:p w:rsidR="00120C9F" w:rsidRDefault="002668E4" w:rsidP="002668E4">
      <w:pPr>
        <w:numPr>
          <w:ilvl w:val="1"/>
          <w:numId w:val="9"/>
        </w:numPr>
        <w:ind w:left="2366" w:right="4" w:hanging="709"/>
      </w:pPr>
      <w:r>
        <w:t>O</w:t>
      </w:r>
      <w:r w:rsidR="00126BBC">
        <w:t xml:space="preserve">wner </w:t>
      </w:r>
    </w:p>
    <w:p w:rsidR="00120C9F" w:rsidRDefault="00126BBC">
      <w:pPr>
        <w:numPr>
          <w:ilvl w:val="1"/>
          <w:numId w:val="9"/>
        </w:numPr>
        <w:ind w:left="2366" w:right="4" w:hanging="709"/>
      </w:pPr>
      <w:r>
        <w:t xml:space="preserve">Investors </w:t>
      </w:r>
    </w:p>
    <w:p w:rsidR="00120C9F" w:rsidRDefault="00126BBC">
      <w:pPr>
        <w:numPr>
          <w:ilvl w:val="2"/>
          <w:numId w:val="9"/>
        </w:numPr>
        <w:ind w:right="4" w:hanging="708"/>
      </w:pPr>
      <w:r>
        <w:t xml:space="preserve">Institutional </w:t>
      </w:r>
    </w:p>
    <w:p w:rsidR="00120C9F" w:rsidRDefault="00126BBC">
      <w:pPr>
        <w:numPr>
          <w:ilvl w:val="2"/>
          <w:numId w:val="9"/>
        </w:numPr>
        <w:ind w:right="4" w:hanging="708"/>
      </w:pPr>
      <w:r>
        <w:t xml:space="preserve">Private </w:t>
      </w:r>
      <w:r w:rsidR="00EA1427">
        <w:t xml:space="preserve">(includes unscrupulous marketing of life settlement investments to senior citizens.) </w:t>
      </w:r>
    </w:p>
    <w:p w:rsidR="00120C9F" w:rsidRDefault="00126BBC">
      <w:pPr>
        <w:numPr>
          <w:ilvl w:val="0"/>
          <w:numId w:val="9"/>
        </w:numPr>
        <w:ind w:right="4" w:hanging="709"/>
      </w:pPr>
      <w:r>
        <w:t xml:space="preserve">Defining Fraud </w:t>
      </w:r>
    </w:p>
    <w:p w:rsidR="00120C9F" w:rsidRDefault="00126BBC">
      <w:pPr>
        <w:numPr>
          <w:ilvl w:val="1"/>
          <w:numId w:val="9"/>
        </w:numPr>
        <w:ind w:left="2366" w:right="4" w:hanging="709"/>
      </w:pPr>
      <w:r>
        <w:t xml:space="preserve">Types of common law fraud </w:t>
      </w:r>
    </w:p>
    <w:p w:rsidR="00120C9F" w:rsidRDefault="00126BBC">
      <w:pPr>
        <w:numPr>
          <w:ilvl w:val="0"/>
          <w:numId w:val="9"/>
        </w:numPr>
        <w:ind w:right="4" w:hanging="709"/>
      </w:pPr>
      <w:r>
        <w:lastRenderedPageBreak/>
        <w:t xml:space="preserve">Examples of life settlement industry types of fraud </w:t>
      </w:r>
    </w:p>
    <w:p w:rsidR="00120C9F" w:rsidRDefault="00126BBC">
      <w:pPr>
        <w:numPr>
          <w:ilvl w:val="1"/>
          <w:numId w:val="9"/>
        </w:numPr>
        <w:ind w:left="2366" w:right="4" w:hanging="709"/>
      </w:pPr>
      <w:r>
        <w:t xml:space="preserve">Clean </w:t>
      </w:r>
      <w:r w:rsidR="00397C88">
        <w:t>S</w:t>
      </w:r>
      <w:r>
        <w:t xml:space="preserve">heeting </w:t>
      </w:r>
    </w:p>
    <w:p w:rsidR="00120C9F" w:rsidRDefault="00126BBC">
      <w:pPr>
        <w:numPr>
          <w:ilvl w:val="1"/>
          <w:numId w:val="9"/>
        </w:numPr>
        <w:ind w:left="2366" w:right="4" w:hanging="709"/>
      </w:pPr>
      <w:r>
        <w:t xml:space="preserve">Wet </w:t>
      </w:r>
      <w:r w:rsidR="00397C88">
        <w:t>P</w:t>
      </w:r>
      <w:r>
        <w:t xml:space="preserve">aper/Wet Ink (the sale of a newly-issued policy to a life settlement company “almost before the ink is dry”) </w:t>
      </w:r>
    </w:p>
    <w:p w:rsidR="00120C9F" w:rsidRDefault="00126BBC">
      <w:pPr>
        <w:numPr>
          <w:ilvl w:val="1"/>
          <w:numId w:val="9"/>
        </w:numPr>
        <w:ind w:left="2366" w:right="4" w:hanging="709"/>
      </w:pPr>
      <w:r>
        <w:t xml:space="preserve">Senior </w:t>
      </w:r>
      <w:r w:rsidR="00397C88">
        <w:t>C</w:t>
      </w:r>
      <w:r>
        <w:t xml:space="preserve">itizen </w:t>
      </w:r>
      <w:r w:rsidR="00397C88">
        <w:t>F</w:t>
      </w:r>
      <w:r>
        <w:t xml:space="preserve">raud </w:t>
      </w:r>
    </w:p>
    <w:p w:rsidR="00120C9F" w:rsidRDefault="00126BBC">
      <w:pPr>
        <w:numPr>
          <w:ilvl w:val="1"/>
          <w:numId w:val="9"/>
        </w:numPr>
        <w:ind w:left="2366" w:right="4" w:hanging="709"/>
      </w:pPr>
      <w:r>
        <w:t xml:space="preserve">Churning </w:t>
      </w:r>
    </w:p>
    <w:p w:rsidR="00120C9F" w:rsidRDefault="00126BBC">
      <w:pPr>
        <w:numPr>
          <w:ilvl w:val="1"/>
          <w:numId w:val="9"/>
        </w:numPr>
        <w:ind w:left="2366" w:right="4" w:hanging="709"/>
      </w:pPr>
      <w:r>
        <w:t xml:space="preserve">Stranger Originated Life Insurance/Investor Owned Life Insurance </w:t>
      </w:r>
    </w:p>
    <w:p w:rsidR="00120C9F" w:rsidRDefault="00126BBC">
      <w:pPr>
        <w:ind w:left="2402" w:right="4"/>
      </w:pPr>
      <w:r>
        <w:t xml:space="preserve">(STOLI/IOLI) </w:t>
      </w:r>
    </w:p>
    <w:p w:rsidR="00120C9F" w:rsidRDefault="00126BBC">
      <w:pPr>
        <w:numPr>
          <w:ilvl w:val="2"/>
          <w:numId w:val="9"/>
        </w:numPr>
        <w:ind w:right="4" w:hanging="708"/>
      </w:pPr>
      <w:r>
        <w:t xml:space="preserve">Definition </w:t>
      </w:r>
    </w:p>
    <w:p w:rsidR="00120C9F" w:rsidRDefault="00126BBC">
      <w:pPr>
        <w:numPr>
          <w:ilvl w:val="2"/>
          <w:numId w:val="9"/>
        </w:numPr>
        <w:ind w:right="4" w:hanging="708"/>
      </w:pPr>
      <w:r>
        <w:t xml:space="preserve">Difference between STOLI/IOLI and other life settlements </w:t>
      </w:r>
    </w:p>
    <w:p w:rsidR="00120C9F" w:rsidRDefault="00126BBC">
      <w:pPr>
        <w:numPr>
          <w:ilvl w:val="2"/>
          <w:numId w:val="9"/>
        </w:numPr>
        <w:ind w:right="4" w:hanging="708"/>
      </w:pPr>
      <w:r>
        <w:t xml:space="preserve">Premium financing/free insurance schemes </w:t>
      </w:r>
    </w:p>
    <w:p w:rsidR="005F41F3" w:rsidRDefault="00126BBC">
      <w:pPr>
        <w:numPr>
          <w:ilvl w:val="2"/>
          <w:numId w:val="9"/>
        </w:numPr>
        <w:ind w:right="4" w:hanging="708"/>
      </w:pPr>
      <w:r>
        <w:t xml:space="preserve">Charitable institution involvement </w:t>
      </w:r>
    </w:p>
    <w:p w:rsidR="005F41F3" w:rsidRDefault="00126BBC">
      <w:pPr>
        <w:numPr>
          <w:ilvl w:val="2"/>
          <w:numId w:val="9"/>
        </w:numPr>
        <w:ind w:right="4" w:hanging="708"/>
      </w:pPr>
      <w:r>
        <w:t xml:space="preserve">STOLI/IOLI outlook – existing litigation and evolving regulations </w:t>
      </w:r>
    </w:p>
    <w:p w:rsidR="00120C9F" w:rsidRDefault="00126BBC">
      <w:pPr>
        <w:numPr>
          <w:ilvl w:val="2"/>
          <w:numId w:val="9"/>
        </w:numPr>
        <w:ind w:right="4" w:hanging="708"/>
      </w:pPr>
      <w:r>
        <w:t xml:space="preserve">Risk of not selling policy, problems with financing, etc. </w:t>
      </w:r>
    </w:p>
    <w:p w:rsidR="005F41F3" w:rsidRDefault="00126BBC">
      <w:pPr>
        <w:ind w:left="1657" w:right="4673" w:firstLine="720"/>
      </w:pPr>
      <w:r>
        <w:t xml:space="preserve">g. </w:t>
      </w:r>
      <w:r>
        <w:tab/>
      </w:r>
      <w:r w:rsidR="00397C88">
        <w:t xml:space="preserve">   </w:t>
      </w:r>
      <w:r>
        <w:t xml:space="preserve">Transfers to a Trust </w:t>
      </w:r>
    </w:p>
    <w:p w:rsidR="005F41F3" w:rsidRDefault="00126BBC" w:rsidP="00397C88">
      <w:pPr>
        <w:ind w:left="2340" w:right="4673" w:hanging="640"/>
      </w:pPr>
      <w:r>
        <w:t xml:space="preserve">6. </w:t>
      </w:r>
      <w:r>
        <w:tab/>
        <w:t xml:space="preserve">Bid-fixing </w:t>
      </w:r>
    </w:p>
    <w:p w:rsidR="00120C9F" w:rsidRDefault="00126BBC">
      <w:pPr>
        <w:numPr>
          <w:ilvl w:val="0"/>
          <w:numId w:val="9"/>
        </w:numPr>
        <w:ind w:right="4" w:hanging="709"/>
      </w:pPr>
      <w:r>
        <w:t xml:space="preserve">Financial Crimes </w:t>
      </w:r>
    </w:p>
    <w:p w:rsidR="00120C9F" w:rsidRDefault="00126BBC">
      <w:pPr>
        <w:numPr>
          <w:ilvl w:val="1"/>
          <w:numId w:val="9"/>
        </w:numPr>
        <w:ind w:left="2366" w:right="4" w:hanging="709"/>
      </w:pPr>
      <w:r>
        <w:t xml:space="preserve">Financial Crimes Enforcement Network (FINCEN).  Refer to the United </w:t>
      </w:r>
    </w:p>
    <w:p w:rsidR="00120C9F" w:rsidRDefault="00126BBC">
      <w:pPr>
        <w:ind w:left="2402" w:right="4"/>
      </w:pPr>
      <w:r>
        <w:t xml:space="preserve">States Department of the Treasury website for current information </w:t>
      </w:r>
    </w:p>
    <w:p w:rsidR="00120C9F" w:rsidRDefault="00126BBC">
      <w:pPr>
        <w:spacing w:after="0" w:line="259" w:lineRule="auto"/>
        <w:ind w:left="2392" w:firstLine="0"/>
      </w:pPr>
      <w:r>
        <w:t>(</w:t>
      </w:r>
      <w:r>
        <w:rPr>
          <w:color w:val="0000FF"/>
        </w:rPr>
        <w:t>http://www.fincen.gov/financial_institutions/insurance/index.html</w:t>
      </w:r>
      <w:r>
        <w:t xml:space="preserve">) </w:t>
      </w:r>
    </w:p>
    <w:p w:rsidR="00120C9F" w:rsidRDefault="00126BBC">
      <w:pPr>
        <w:numPr>
          <w:ilvl w:val="1"/>
          <w:numId w:val="9"/>
        </w:numPr>
        <w:ind w:left="2366" w:right="4" w:hanging="709"/>
      </w:pPr>
      <w:r>
        <w:t xml:space="preserve">Anti-money laundering programs </w:t>
      </w:r>
    </w:p>
    <w:p w:rsidR="00120C9F" w:rsidRDefault="00126BBC">
      <w:pPr>
        <w:numPr>
          <w:ilvl w:val="1"/>
          <w:numId w:val="9"/>
        </w:numPr>
        <w:ind w:left="2366" w:right="4" w:hanging="709"/>
      </w:pPr>
      <w:r>
        <w:t xml:space="preserve">Money laundering schemes </w:t>
      </w:r>
    </w:p>
    <w:p w:rsidR="00120C9F" w:rsidRDefault="00126BBC" w:rsidP="00397C88">
      <w:pPr>
        <w:numPr>
          <w:ilvl w:val="1"/>
          <w:numId w:val="9"/>
        </w:numPr>
        <w:ind w:left="2366" w:right="4" w:hanging="709"/>
      </w:pPr>
      <w:r>
        <w:t xml:space="preserve">Red flags (e.g. spotting suspect investors) </w:t>
      </w:r>
    </w:p>
    <w:p w:rsidR="00120C9F" w:rsidRDefault="00126BBC">
      <w:pPr>
        <w:pStyle w:val="Heading3"/>
        <w:ind w:left="953" w:hanging="720"/>
      </w:pPr>
      <w:r>
        <w:t xml:space="preserve">VII. </w:t>
      </w:r>
      <w:r>
        <w:tab/>
        <w:t xml:space="preserve">Future Developments, the Securities and Exchange Commission (SEC), and the </w:t>
      </w:r>
      <w:r>
        <w:rPr>
          <w:b w:val="0"/>
        </w:rPr>
        <w:t xml:space="preserve"> </w:t>
      </w:r>
      <w:r>
        <w:t>Financial Industry Regulatory Authority (FINRA) Impacts</w:t>
      </w:r>
      <w:r>
        <w:rPr>
          <w:b w:val="0"/>
        </w:rPr>
        <w:t xml:space="preserve"> </w:t>
      </w:r>
    </w:p>
    <w:p w:rsidR="00120C9F" w:rsidRDefault="00126BBC">
      <w:pPr>
        <w:numPr>
          <w:ilvl w:val="0"/>
          <w:numId w:val="10"/>
        </w:numPr>
        <w:ind w:right="4" w:hanging="709"/>
      </w:pPr>
      <w:r>
        <w:t xml:space="preserve">Industry </w:t>
      </w:r>
      <w:r w:rsidR="00397C88">
        <w:t>C</w:t>
      </w:r>
      <w:r>
        <w:t xml:space="preserve">hanges </w:t>
      </w:r>
    </w:p>
    <w:p w:rsidR="00120C9F" w:rsidRDefault="00126BBC">
      <w:pPr>
        <w:numPr>
          <w:ilvl w:val="0"/>
          <w:numId w:val="10"/>
        </w:numPr>
        <w:ind w:right="4" w:hanging="709"/>
      </w:pPr>
      <w:r>
        <w:t xml:space="preserve">Federal </w:t>
      </w:r>
      <w:r w:rsidR="00397C88">
        <w:t>R</w:t>
      </w:r>
      <w:r>
        <w:t xml:space="preserve">ole </w:t>
      </w:r>
    </w:p>
    <w:p w:rsidR="00120C9F" w:rsidRDefault="00126BBC">
      <w:pPr>
        <w:numPr>
          <w:ilvl w:val="1"/>
          <w:numId w:val="10"/>
        </w:numPr>
        <w:ind w:right="4" w:hanging="708"/>
      </w:pPr>
      <w:r>
        <w:t xml:space="preserve">SEC </w:t>
      </w:r>
    </w:p>
    <w:p w:rsidR="00120C9F" w:rsidRDefault="00126BBC">
      <w:pPr>
        <w:numPr>
          <w:ilvl w:val="1"/>
          <w:numId w:val="10"/>
        </w:numPr>
        <w:ind w:right="4" w:hanging="708"/>
      </w:pPr>
      <w:r>
        <w:t xml:space="preserve">FINRA </w:t>
      </w:r>
    </w:p>
    <w:p w:rsidR="00120C9F" w:rsidRDefault="00126BBC" w:rsidP="00397C88">
      <w:pPr>
        <w:numPr>
          <w:ilvl w:val="1"/>
          <w:numId w:val="10"/>
        </w:numPr>
        <w:ind w:right="4" w:hanging="708"/>
      </w:pPr>
      <w:r>
        <w:t xml:space="preserve">Securitization </w:t>
      </w:r>
    </w:p>
    <w:p w:rsidR="00120C9F" w:rsidRDefault="00126BBC">
      <w:pPr>
        <w:pStyle w:val="Heading3"/>
        <w:ind w:left="243"/>
      </w:pPr>
      <w:r>
        <w:t>VIII. Ethics</w:t>
      </w:r>
      <w:r>
        <w:rPr>
          <w:b w:val="0"/>
        </w:rPr>
        <w:t xml:space="preserve"> </w:t>
      </w:r>
    </w:p>
    <w:p w:rsidR="00120C9F" w:rsidRDefault="00126BBC">
      <w:pPr>
        <w:tabs>
          <w:tab w:val="center" w:pos="1068"/>
          <w:tab w:val="center" w:pos="4505"/>
        </w:tabs>
        <w:ind w:left="0" w:firstLine="0"/>
      </w:pPr>
      <w:r>
        <w:rPr>
          <w:rFonts w:ascii="Calibri" w:eastAsia="Calibri" w:hAnsi="Calibri" w:cs="Calibri"/>
          <w:sz w:val="22"/>
        </w:rPr>
        <w:tab/>
      </w:r>
      <w:r>
        <w:t xml:space="preserve">A. </w:t>
      </w:r>
      <w:r>
        <w:tab/>
        <w:t xml:space="preserve">Be able to identify and apply the meaning of the following: </w:t>
      </w:r>
    </w:p>
    <w:p w:rsidR="00120C9F" w:rsidRDefault="00126BBC">
      <w:pPr>
        <w:numPr>
          <w:ilvl w:val="0"/>
          <w:numId w:val="11"/>
        </w:numPr>
        <w:ind w:right="4" w:hanging="708"/>
      </w:pPr>
      <w:r>
        <w:t xml:space="preserve">Provide exemplary service to your clients; </w:t>
      </w:r>
    </w:p>
    <w:p w:rsidR="00120C9F" w:rsidRDefault="00126BBC">
      <w:pPr>
        <w:numPr>
          <w:ilvl w:val="0"/>
          <w:numId w:val="11"/>
        </w:numPr>
        <w:ind w:right="4" w:hanging="708"/>
      </w:pPr>
      <w:r>
        <w:t xml:space="preserve">Use simple language; talk in layman’s language when possible, avoid jargon; </w:t>
      </w:r>
    </w:p>
    <w:p w:rsidR="00120C9F" w:rsidRDefault="00126BBC">
      <w:pPr>
        <w:numPr>
          <w:ilvl w:val="0"/>
          <w:numId w:val="11"/>
        </w:numPr>
        <w:ind w:right="4" w:hanging="708"/>
      </w:pPr>
      <w:r>
        <w:t xml:space="preserve">Ensure that the settlor understands the process and the impact to them of entering into a life settlement; </w:t>
      </w:r>
    </w:p>
    <w:p w:rsidR="00120C9F" w:rsidRDefault="00126BBC">
      <w:pPr>
        <w:numPr>
          <w:ilvl w:val="0"/>
          <w:numId w:val="11"/>
        </w:numPr>
        <w:ind w:right="4" w:hanging="708"/>
      </w:pPr>
      <w:r>
        <w:t xml:space="preserve">Place the Life Settlor’s interest first; </w:t>
      </w:r>
    </w:p>
    <w:p w:rsidR="00120C9F" w:rsidRDefault="00126BBC">
      <w:pPr>
        <w:numPr>
          <w:ilvl w:val="0"/>
          <w:numId w:val="11"/>
        </w:numPr>
        <w:ind w:right="4" w:hanging="708"/>
      </w:pPr>
      <w:r>
        <w:lastRenderedPageBreak/>
        <w:t xml:space="preserve">Understand the process, stay informed and continue to educate yourself about the current industry and changes in the industry (vital due to the evolving nature of the industry); </w:t>
      </w:r>
    </w:p>
    <w:p w:rsidR="00120C9F" w:rsidRDefault="00126BBC">
      <w:pPr>
        <w:numPr>
          <w:ilvl w:val="0"/>
          <w:numId w:val="11"/>
        </w:numPr>
        <w:ind w:right="4" w:hanging="708"/>
      </w:pPr>
      <w:r>
        <w:t xml:space="preserve">Identify the customer’s needs and ensure that a life settlement is suitable and appropriate; </w:t>
      </w:r>
    </w:p>
    <w:p w:rsidR="00120C9F" w:rsidRDefault="00126BBC">
      <w:pPr>
        <w:numPr>
          <w:ilvl w:val="0"/>
          <w:numId w:val="11"/>
        </w:numPr>
        <w:ind w:right="4" w:hanging="708"/>
      </w:pPr>
      <w:r>
        <w:t xml:space="preserve">Accurately and truthfully represent the life settlement process; </w:t>
      </w:r>
    </w:p>
    <w:p w:rsidR="00120C9F" w:rsidRDefault="00126BBC">
      <w:pPr>
        <w:numPr>
          <w:ilvl w:val="0"/>
          <w:numId w:val="11"/>
        </w:numPr>
        <w:ind w:right="4" w:hanging="708"/>
      </w:pPr>
      <w:r>
        <w:t xml:space="preserve">Protect the privacy and confidentiality of all parties; </w:t>
      </w:r>
    </w:p>
    <w:p w:rsidR="00120C9F" w:rsidRDefault="00126BBC">
      <w:pPr>
        <w:numPr>
          <w:ilvl w:val="0"/>
          <w:numId w:val="11"/>
        </w:numPr>
        <w:ind w:right="4" w:hanging="708"/>
      </w:pPr>
      <w:r>
        <w:t xml:space="preserve">Stay informed and obey all insurance laws and regulations; </w:t>
      </w:r>
    </w:p>
    <w:p w:rsidR="00120C9F" w:rsidRDefault="00126BBC">
      <w:pPr>
        <w:numPr>
          <w:ilvl w:val="0"/>
          <w:numId w:val="11"/>
        </w:numPr>
        <w:ind w:right="4" w:hanging="708"/>
      </w:pPr>
      <w:r>
        <w:t xml:space="preserve">Avoid unfair or inaccurate remarks about different providers, brokers and other alternatives; </w:t>
      </w:r>
    </w:p>
    <w:p w:rsidR="00120C9F" w:rsidRDefault="00126BBC">
      <w:pPr>
        <w:numPr>
          <w:ilvl w:val="0"/>
          <w:numId w:val="11"/>
        </w:numPr>
        <w:ind w:right="4" w:hanging="708"/>
      </w:pPr>
      <w:r>
        <w:t xml:space="preserve">Identify and avoid any conflicts of interests; and, </w:t>
      </w:r>
    </w:p>
    <w:p w:rsidR="00120C9F" w:rsidRDefault="00126BBC">
      <w:pPr>
        <w:numPr>
          <w:ilvl w:val="0"/>
          <w:numId w:val="11"/>
        </w:numPr>
        <w:ind w:right="4" w:hanging="708"/>
      </w:pPr>
      <w:r>
        <w:t xml:space="preserve">Understand and refrain from any fraudulent, deceptive, or false marketing, advertising or promotions. </w:t>
      </w:r>
    </w:p>
    <w:p w:rsidR="00120C9F" w:rsidRDefault="00126BBC">
      <w:pPr>
        <w:spacing w:after="1511" w:line="259" w:lineRule="auto"/>
        <w:ind w:left="0" w:firstLine="0"/>
      </w:pPr>
      <w:r>
        <w:rPr>
          <w:rFonts w:ascii="Calibri" w:eastAsia="Calibri" w:hAnsi="Calibri" w:cs="Calibri"/>
          <w:sz w:val="20"/>
        </w:rPr>
        <w:t xml:space="preserve"> </w:t>
      </w:r>
    </w:p>
    <w:p w:rsidR="00120C9F" w:rsidRDefault="00126BBC">
      <w:pPr>
        <w:spacing w:after="3" w:line="259" w:lineRule="auto"/>
        <w:ind w:left="0" w:firstLine="0"/>
        <w:rPr>
          <w:rFonts w:ascii="Calibri" w:eastAsia="Calibri" w:hAnsi="Calibri" w:cs="Calibri"/>
          <w:sz w:val="14"/>
        </w:rPr>
      </w:pPr>
      <w:r>
        <w:rPr>
          <w:rFonts w:ascii="Calibri" w:eastAsia="Calibri" w:hAnsi="Calibri" w:cs="Calibri"/>
          <w:sz w:val="14"/>
        </w:rPr>
        <w:t xml:space="preserve"> </w:t>
      </w:r>
    </w:p>
    <w:p w:rsidR="00397C88" w:rsidRDefault="00397C88">
      <w:pPr>
        <w:spacing w:after="3" w:line="259" w:lineRule="auto"/>
        <w:ind w:left="0" w:firstLine="0"/>
      </w:pPr>
    </w:p>
    <w:p w:rsidR="00397C88" w:rsidRDefault="00397C88">
      <w:pPr>
        <w:spacing w:after="3" w:line="259" w:lineRule="auto"/>
        <w:ind w:left="0" w:firstLine="0"/>
      </w:pPr>
    </w:p>
    <w:p w:rsidR="00397C88" w:rsidRDefault="00397C88">
      <w:pPr>
        <w:spacing w:after="3" w:line="259" w:lineRule="auto"/>
        <w:ind w:left="0" w:firstLine="0"/>
      </w:pPr>
    </w:p>
    <w:p w:rsidR="00397C88" w:rsidRDefault="00397C88">
      <w:pPr>
        <w:spacing w:after="3" w:line="259" w:lineRule="auto"/>
        <w:ind w:left="0" w:firstLine="0"/>
      </w:pPr>
    </w:p>
    <w:p w:rsidR="00397C88" w:rsidRDefault="00397C88">
      <w:pPr>
        <w:spacing w:after="3" w:line="259" w:lineRule="auto"/>
        <w:ind w:left="0" w:firstLine="0"/>
      </w:pPr>
    </w:p>
    <w:p w:rsidR="00397C88" w:rsidRDefault="00397C88">
      <w:pPr>
        <w:spacing w:after="3" w:line="259" w:lineRule="auto"/>
        <w:ind w:left="0" w:firstLine="0"/>
      </w:pPr>
    </w:p>
    <w:p w:rsidR="00397C88" w:rsidRDefault="00397C88">
      <w:pPr>
        <w:spacing w:after="3" w:line="259" w:lineRule="auto"/>
        <w:ind w:left="0" w:firstLine="0"/>
      </w:pPr>
    </w:p>
    <w:p w:rsidR="00397C88" w:rsidRDefault="00397C88">
      <w:pPr>
        <w:spacing w:after="3" w:line="259" w:lineRule="auto"/>
        <w:ind w:left="0" w:firstLine="0"/>
      </w:pPr>
    </w:p>
    <w:p w:rsidR="00120C9F" w:rsidRDefault="00126BBC">
      <w:pPr>
        <w:spacing w:after="0" w:line="259" w:lineRule="auto"/>
        <w:ind w:left="0" w:firstLine="0"/>
      </w:pPr>
      <w:r>
        <w:rPr>
          <w:rFonts w:ascii="Calibri" w:eastAsia="Calibri" w:hAnsi="Calibri" w:cs="Calibri"/>
          <w:sz w:val="20"/>
        </w:rPr>
        <w:t xml:space="preserve"> </w:t>
      </w:r>
    </w:p>
    <w:p w:rsidR="00120C9F" w:rsidRDefault="00126BBC">
      <w:pPr>
        <w:spacing w:after="57" w:line="259" w:lineRule="auto"/>
        <w:ind w:left="0" w:firstLine="0"/>
      </w:pPr>
      <w:r>
        <w:rPr>
          <w:rFonts w:ascii="Calibri" w:eastAsia="Calibri" w:hAnsi="Calibri" w:cs="Calibri"/>
          <w:sz w:val="20"/>
        </w:rPr>
        <w:t xml:space="preserve"> </w:t>
      </w:r>
    </w:p>
    <w:p w:rsidR="00120C9F" w:rsidRDefault="00126BBC">
      <w:pPr>
        <w:spacing w:after="0" w:line="259" w:lineRule="auto"/>
        <w:ind w:left="0" w:right="4134" w:firstLine="0"/>
        <w:jc w:val="right"/>
      </w:pPr>
      <w:r>
        <w:rPr>
          <w:sz w:val="28"/>
        </w:rPr>
        <w:t xml:space="preserve">Attachments </w:t>
      </w:r>
    </w:p>
    <w:p w:rsidR="00120C9F" w:rsidRDefault="00126BBC">
      <w:pPr>
        <w:spacing w:after="0" w:line="259" w:lineRule="auto"/>
        <w:ind w:left="0" w:firstLine="0"/>
      </w:pPr>
      <w:r>
        <w:rPr>
          <w:rFonts w:ascii="Calibri" w:eastAsia="Calibri" w:hAnsi="Calibri" w:cs="Calibri"/>
          <w:sz w:val="26"/>
        </w:rPr>
        <w:t xml:space="preserve"> </w:t>
      </w:r>
    </w:p>
    <w:tbl>
      <w:tblPr>
        <w:tblStyle w:val="TableGrid"/>
        <w:tblW w:w="9864" w:type="dxa"/>
        <w:tblInd w:w="108" w:type="dxa"/>
        <w:tblCellMar>
          <w:left w:w="105" w:type="dxa"/>
          <w:right w:w="115" w:type="dxa"/>
        </w:tblCellMar>
        <w:tblLook w:val="04A0" w:firstRow="1" w:lastRow="0" w:firstColumn="1" w:lastColumn="0" w:noHBand="0" w:noVBand="1"/>
      </w:tblPr>
      <w:tblGrid>
        <w:gridCol w:w="2088"/>
        <w:gridCol w:w="7776"/>
      </w:tblGrid>
      <w:tr w:rsidR="00120C9F">
        <w:trPr>
          <w:trHeight w:val="565"/>
        </w:trPr>
        <w:tc>
          <w:tcPr>
            <w:tcW w:w="2088"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2" w:firstLine="0"/>
            </w:pPr>
            <w:r>
              <w:t xml:space="preserve">Attachment I </w:t>
            </w:r>
          </w:p>
        </w:tc>
        <w:tc>
          <w:tcPr>
            <w:tcW w:w="7776"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0" w:firstLine="0"/>
            </w:pPr>
            <w:r>
              <w:t xml:space="preserve">15-Hour Life Settlement Broker Outline Definition of Terms </w:t>
            </w:r>
          </w:p>
        </w:tc>
      </w:tr>
      <w:tr w:rsidR="00120C9F">
        <w:trPr>
          <w:trHeight w:val="542"/>
        </w:trPr>
        <w:tc>
          <w:tcPr>
            <w:tcW w:w="2088"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2" w:firstLine="0"/>
            </w:pPr>
            <w:r>
              <w:t xml:space="preserve">Attachment II </w:t>
            </w:r>
          </w:p>
        </w:tc>
        <w:tc>
          <w:tcPr>
            <w:tcW w:w="7776" w:type="dxa"/>
            <w:tcBorders>
              <w:top w:val="single" w:sz="4" w:space="0" w:color="000000"/>
              <w:left w:val="single" w:sz="4" w:space="0" w:color="000000"/>
              <w:bottom w:val="single" w:sz="4" w:space="0" w:color="000000"/>
              <w:right w:val="single" w:sz="4" w:space="0" w:color="000000"/>
            </w:tcBorders>
            <w:vAlign w:val="center"/>
          </w:tcPr>
          <w:p w:rsidR="00120C9F" w:rsidRDefault="00126BBC">
            <w:pPr>
              <w:spacing w:after="0" w:line="259" w:lineRule="auto"/>
              <w:ind w:left="2" w:firstLine="0"/>
            </w:pPr>
            <w:r>
              <w:t xml:space="preserve">Life Agent Disclosure Requirements for Sales to Elders </w:t>
            </w:r>
          </w:p>
        </w:tc>
      </w:tr>
    </w:tbl>
    <w:p w:rsidR="00120C9F" w:rsidRDefault="00120C9F" w:rsidP="002668E4">
      <w:pPr>
        <w:spacing w:after="0" w:line="259" w:lineRule="auto"/>
        <w:ind w:left="0" w:firstLine="0"/>
      </w:pPr>
      <w:bookmarkStart w:id="0" w:name="_GoBack"/>
      <w:bookmarkEnd w:id="0"/>
    </w:p>
    <w:sectPr w:rsidR="00120C9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774" w:right="1421" w:bottom="981" w:left="920" w:header="729"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0D" w:rsidRDefault="009D4E0D">
      <w:pPr>
        <w:spacing w:after="0" w:line="240" w:lineRule="auto"/>
      </w:pPr>
      <w:r>
        <w:separator/>
      </w:r>
    </w:p>
  </w:endnote>
  <w:endnote w:type="continuationSeparator" w:id="0">
    <w:p w:rsidR="009D4E0D" w:rsidRDefault="009D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C9F" w:rsidRDefault="00126BBC" w:rsidP="002046E1">
    <w:pPr>
      <w:spacing w:after="0" w:line="259" w:lineRule="auto"/>
      <w:ind w:left="0" w:right="16" w:firstLine="0"/>
      <w:jc w:val="right"/>
    </w:pPr>
    <w:r w:rsidRPr="002668E4">
      <w:rPr>
        <w:sz w:val="20"/>
        <w:szCs w:val="20"/>
      </w:rPr>
      <w:t xml:space="preserve">Page </w:t>
    </w:r>
    <w:r w:rsidRPr="002668E4">
      <w:rPr>
        <w:sz w:val="20"/>
        <w:szCs w:val="20"/>
      </w:rPr>
      <w:fldChar w:fldCharType="begin"/>
    </w:r>
    <w:r w:rsidRPr="002668E4">
      <w:rPr>
        <w:sz w:val="20"/>
        <w:szCs w:val="20"/>
      </w:rPr>
      <w:instrText xml:space="preserve"> PAGE   \* MERGEFORMAT </w:instrText>
    </w:r>
    <w:r w:rsidRPr="002668E4">
      <w:rPr>
        <w:sz w:val="20"/>
        <w:szCs w:val="20"/>
      </w:rPr>
      <w:fldChar w:fldCharType="separate"/>
    </w:r>
    <w:r w:rsidR="00182AA4">
      <w:rPr>
        <w:noProof/>
        <w:sz w:val="20"/>
        <w:szCs w:val="20"/>
      </w:rPr>
      <w:t>4</w:t>
    </w:r>
    <w:r w:rsidRPr="002668E4">
      <w:rPr>
        <w:sz w:val="20"/>
        <w:szCs w:val="20"/>
      </w:rPr>
      <w:fldChar w:fldCharType="end"/>
    </w:r>
    <w:r w:rsidR="002668E4">
      <w:rPr>
        <w:sz w:val="20"/>
        <w:szCs w:val="20"/>
      </w:rPr>
      <w:t xml:space="preserve">                                                                                                                                                                  </w:t>
    </w:r>
    <w:r w:rsidRPr="002668E4">
      <w:rPr>
        <w:sz w:val="20"/>
        <w:szCs w:val="20"/>
      </w:rPr>
      <w:t xml:space="preserve"> </w:t>
    </w:r>
    <w:r w:rsidR="002668E4" w:rsidRPr="002668E4">
      <w:rPr>
        <w:sz w:val="20"/>
        <w:szCs w:val="20"/>
      </w:rPr>
      <w:t xml:space="preserve"> </w:t>
    </w:r>
    <w:r w:rsidR="002046E1">
      <w:rPr>
        <w:sz w:val="20"/>
        <w:szCs w:val="20"/>
      </w:rPr>
      <w:t>2-18-2021</w:t>
    </w:r>
  </w:p>
  <w:p w:rsidR="002668E4" w:rsidRDefault="002668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8E4" w:rsidRDefault="00126BBC" w:rsidP="002668E4">
    <w:pPr>
      <w:spacing w:after="0" w:line="259" w:lineRule="auto"/>
      <w:ind w:left="0" w:right="16" w:firstLine="0"/>
      <w:jc w:val="right"/>
      <w:rPr>
        <w:sz w:val="20"/>
        <w:szCs w:val="20"/>
      </w:rPr>
    </w:pPr>
    <w:r w:rsidRPr="002668E4">
      <w:rPr>
        <w:sz w:val="20"/>
        <w:szCs w:val="20"/>
      </w:rPr>
      <w:t xml:space="preserve">Page </w:t>
    </w:r>
    <w:r w:rsidRPr="002668E4">
      <w:rPr>
        <w:sz w:val="20"/>
        <w:szCs w:val="20"/>
      </w:rPr>
      <w:fldChar w:fldCharType="begin"/>
    </w:r>
    <w:r w:rsidRPr="002668E4">
      <w:rPr>
        <w:sz w:val="20"/>
        <w:szCs w:val="20"/>
      </w:rPr>
      <w:instrText xml:space="preserve"> PAGE   \* MERGEFORMAT </w:instrText>
    </w:r>
    <w:r w:rsidRPr="002668E4">
      <w:rPr>
        <w:sz w:val="20"/>
        <w:szCs w:val="20"/>
      </w:rPr>
      <w:fldChar w:fldCharType="separate"/>
    </w:r>
    <w:r w:rsidR="00182AA4">
      <w:rPr>
        <w:noProof/>
        <w:sz w:val="20"/>
        <w:szCs w:val="20"/>
      </w:rPr>
      <w:t>3</w:t>
    </w:r>
    <w:r w:rsidRPr="002668E4">
      <w:rPr>
        <w:sz w:val="20"/>
        <w:szCs w:val="20"/>
      </w:rPr>
      <w:fldChar w:fldCharType="end"/>
    </w:r>
    <w:r w:rsidRPr="002668E4">
      <w:rPr>
        <w:sz w:val="20"/>
        <w:szCs w:val="20"/>
      </w:rPr>
      <w:t xml:space="preserve"> </w:t>
    </w:r>
    <w:r w:rsidR="002668E4" w:rsidRPr="002668E4">
      <w:rPr>
        <w:sz w:val="20"/>
        <w:szCs w:val="20"/>
      </w:rPr>
      <w:t xml:space="preserve">   </w:t>
    </w:r>
    <w:r w:rsidR="002668E4">
      <w:rPr>
        <w:sz w:val="20"/>
        <w:szCs w:val="20"/>
      </w:rPr>
      <w:t xml:space="preserve">                                                                                                                           </w:t>
    </w:r>
    <w:r w:rsidR="002668E4" w:rsidRPr="002668E4">
      <w:rPr>
        <w:sz w:val="20"/>
        <w:szCs w:val="20"/>
      </w:rPr>
      <w:t xml:space="preserve">                                     </w:t>
    </w:r>
    <w:r w:rsidR="002046E1">
      <w:rPr>
        <w:sz w:val="20"/>
        <w:szCs w:val="20"/>
      </w:rPr>
      <w:t>2-18-2021</w:t>
    </w:r>
  </w:p>
  <w:p w:rsidR="002668E4" w:rsidRPr="002668E4" w:rsidRDefault="002668E4" w:rsidP="002668E4">
    <w:pPr>
      <w:spacing w:after="0" w:line="259" w:lineRule="auto"/>
      <w:ind w:left="0" w:right="16" w:firstLine="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C9F" w:rsidRDefault="00126BBC">
    <w:pPr>
      <w:spacing w:after="0" w:line="259" w:lineRule="auto"/>
      <w:ind w:left="100" w:firstLine="0"/>
    </w:pPr>
    <w:r>
      <w:rPr>
        <w:rFonts w:ascii="Calibri" w:eastAsia="Calibri" w:hAnsi="Calibri" w:cs="Calibri"/>
        <w:sz w:val="20"/>
      </w:rPr>
      <w:t xml:space="preserve"> </w:t>
    </w:r>
    <w:r>
      <w:t xml:space="preserve">Page </w:t>
    </w:r>
    <w:r>
      <w:fldChar w:fldCharType="begin"/>
    </w:r>
    <w:r>
      <w:instrText xml:space="preserve"> PAGE   \* MERGEFORMAT </w:instrText>
    </w:r>
    <w:r>
      <w:fldChar w:fldCharType="separate"/>
    </w:r>
    <w:r>
      <w:t>1</w:t>
    </w:r>
    <w:r>
      <w:fldChar w:fldCharType="end"/>
    </w:r>
    <w:r>
      <w:t xml:space="preserve"> </w:t>
    </w:r>
  </w:p>
  <w:p w:rsidR="00120C9F" w:rsidRDefault="00126BBC">
    <w:pPr>
      <w:spacing w:after="0" w:line="259" w:lineRule="auto"/>
      <w:ind w:left="0" w:right="16" w:firstLine="0"/>
      <w:jc w:val="right"/>
    </w:pPr>
    <w:r>
      <w:rPr>
        <w:sz w:val="20"/>
      </w:rPr>
      <w:fldChar w:fldCharType="begin"/>
    </w:r>
    <w:r>
      <w:rPr>
        <w:sz w:val="20"/>
      </w:rPr>
      <w:instrText xml:space="preserve"> NUMPAGES   \* MERGEFORMAT </w:instrText>
    </w:r>
    <w:r>
      <w:rPr>
        <w:sz w:val="20"/>
      </w:rPr>
      <w:fldChar w:fldCharType="separate"/>
    </w:r>
    <w:r>
      <w:rPr>
        <w:sz w:val="20"/>
      </w:rPr>
      <w:t>10</w:t>
    </w:r>
    <w:r>
      <w:rPr>
        <w:sz w:val="20"/>
      </w:rPr>
      <w:fldChar w:fldCharType="end"/>
    </w:r>
    <w:r>
      <w:rPr>
        <w:sz w:val="20"/>
      </w:rPr>
      <w:t>-24-2016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0D" w:rsidRDefault="009D4E0D">
      <w:pPr>
        <w:spacing w:after="113" w:line="259" w:lineRule="auto"/>
        <w:ind w:left="232" w:firstLine="0"/>
      </w:pPr>
      <w:r>
        <w:separator/>
      </w:r>
    </w:p>
  </w:footnote>
  <w:footnote w:type="continuationSeparator" w:id="0">
    <w:p w:rsidR="009D4E0D" w:rsidRDefault="009D4E0D">
      <w:pPr>
        <w:spacing w:after="113" w:line="259" w:lineRule="auto"/>
        <w:ind w:left="232" w:firstLine="0"/>
      </w:pPr>
      <w:r>
        <w:continuationSeparator/>
      </w:r>
    </w:p>
  </w:footnote>
  <w:footnote w:id="1">
    <w:p w:rsidR="00120C9F" w:rsidRDefault="00126BBC">
      <w:pPr>
        <w:pStyle w:val="footnotedescription"/>
        <w:spacing w:line="259" w:lineRule="auto"/>
        <w:ind w:left="232" w:firstLine="0"/>
      </w:pPr>
      <w:r>
        <w:rPr>
          <w:rStyle w:val="footnotemark"/>
        </w:rPr>
        <w:footnoteRef/>
      </w:r>
      <w:r>
        <w:t xml:space="preserve"> Based on a 50-minute credit hour standard. </w:t>
      </w:r>
    </w:p>
  </w:footnote>
  <w:footnote w:id="2">
    <w:p w:rsidR="00120C9F" w:rsidRDefault="00126BBC">
      <w:pPr>
        <w:pStyle w:val="footnotedescription"/>
        <w:spacing w:after="0"/>
      </w:pPr>
      <w:r>
        <w:rPr>
          <w:rStyle w:val="footnotemark"/>
        </w:rPr>
        <w:footnoteRef/>
      </w:r>
      <w:r>
        <w:t xml:space="preserve"> Based on a standard text of approximately 1-credit hour per 10 pages of text with 44 lines per page and 12 or more words per line depending on the degree of difficulty of the material.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C9F" w:rsidRDefault="00126BBC">
    <w:pPr>
      <w:tabs>
        <w:tab w:val="center" w:pos="5063"/>
      </w:tabs>
      <w:spacing w:after="5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731520</wp:posOffset>
              </wp:positionH>
              <wp:positionV relativeFrom="page">
                <wp:posOffset>1640586</wp:posOffset>
              </wp:positionV>
              <wp:extent cx="6553200" cy="25146"/>
              <wp:effectExtent l="0" t="0" r="0" b="0"/>
              <wp:wrapSquare wrapText="bothSides"/>
              <wp:docPr id="10934" name="Group 10934"/>
              <wp:cNvGraphicFramePr/>
              <a:graphic xmlns:a="http://schemas.openxmlformats.org/drawingml/2006/main">
                <a:graphicData uri="http://schemas.microsoft.com/office/word/2010/wordprocessingGroup">
                  <wpg:wgp>
                    <wpg:cNvGrpSpPr/>
                    <wpg:grpSpPr>
                      <a:xfrm>
                        <a:off x="0" y="0"/>
                        <a:ext cx="6553200" cy="25146"/>
                        <a:chOff x="0" y="0"/>
                        <a:chExt cx="6553200" cy="25146"/>
                      </a:xfrm>
                    </wpg:grpSpPr>
                    <wps:wsp>
                      <wps:cNvPr id="11504" name="Shape 11504"/>
                      <wps:cNvSpPr/>
                      <wps:spPr>
                        <a:xfrm>
                          <a:off x="0" y="0"/>
                          <a:ext cx="6553200" cy="25146"/>
                        </a:xfrm>
                        <a:custGeom>
                          <a:avLst/>
                          <a:gdLst/>
                          <a:ahLst/>
                          <a:cxnLst/>
                          <a:rect l="0" t="0" r="0" b="0"/>
                          <a:pathLst>
                            <a:path w="6553200" h="25146">
                              <a:moveTo>
                                <a:pt x="0" y="0"/>
                              </a:moveTo>
                              <a:lnTo>
                                <a:pt x="6553200" y="0"/>
                              </a:lnTo>
                              <a:lnTo>
                                <a:pt x="6553200" y="25146"/>
                              </a:lnTo>
                              <a:lnTo>
                                <a:pt x="0" y="25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5AFA6C" id="Group 10934" o:spid="_x0000_s1026" style="position:absolute;margin-left:57.6pt;margin-top:129.2pt;width:516pt;height:2pt;z-index:251658240;mso-position-horizontal-relative:page;mso-position-vertical-relative:page" coordsize="655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">
              <v:shape id="Shape 11504" o:spid="_x0000_s1027" style="position:absolute;width:65532;height:251;visibility:visible;mso-wrap-style:square;v-text-anchor:top" coordsize="6553200,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DUsUA&#10;AADeAAAADwAAAGRycy9kb3ducmV2LnhtbERPS2vCQBC+F/oflil4M5tIlZq6kVJb6EnQttbjkJ08&#10;MDsbsmuM/npXEHqbj+85i+VgGtFT52rLCpIoBkGcW11zqeDn+3P8AsJ5ZI2NZVJwJgfL7PFhgam2&#10;J95Qv/WlCCHsUlRQed+mUrq8IoMusi1x4ArbGfQBdqXUHZ5CuGnkJI5n0mDNoaHClt4ryg/bo1Hw&#10;QfvfP0zOu4O9rHk2X/XJdF8oNXoa3l5BeBr8v/ju/tJhfjKNn+H2TrhB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kNSxQAAAN4AAAAPAAAAAAAAAAAAAAAAAJgCAABkcnMv&#10;ZG93bnJldi54bWxQSwUGAAAAAAQABAD1AAAAigMAAAAA&#10;" path="m,l6553200,r,25146l,25146,,e" fillcolor="black" stroked="f" strokeweight="0">
                <v:stroke miterlimit="83231f" joinstyle="miter"/>
                <v:path arrowok="t" textboxrect="0,0,6553200,25146"/>
              </v:shape>
              <w10:wrap type="square" anchorx="page" anchory="page"/>
            </v:group>
          </w:pict>
        </mc:Fallback>
      </mc:AlternateContent>
    </w: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Arial" w:eastAsia="Arial" w:hAnsi="Arial" w:cs="Arial"/>
        <w:sz w:val="36"/>
      </w:rPr>
      <w:t xml:space="preserve">California Department of Insurance </w:t>
    </w:r>
  </w:p>
  <w:p w:rsidR="00120C9F" w:rsidRDefault="00126BBC">
    <w:pPr>
      <w:spacing w:after="0" w:line="259" w:lineRule="auto"/>
      <w:ind w:left="2195" w:firstLine="0"/>
    </w:pPr>
    <w:r>
      <w:rPr>
        <w:i/>
        <w:sz w:val="36"/>
      </w:rPr>
      <w:t>15-Hour Life Settlement Broker Outline</w:t>
    </w:r>
    <w:r>
      <w:rPr>
        <w:sz w:val="36"/>
      </w:rPr>
      <w:t xml:space="preserve"> </w:t>
    </w:r>
  </w:p>
  <w:p w:rsidR="00120C9F" w:rsidRDefault="00126BBC">
    <w:pPr>
      <w:spacing w:after="6" w:line="259" w:lineRule="auto"/>
      <w:ind w:left="1874" w:firstLine="0"/>
    </w:pPr>
    <w:r>
      <w:rPr>
        <w:rFonts w:ascii="Calibri" w:eastAsia="Calibri" w:hAnsi="Calibri" w:cs="Calibri"/>
        <w:sz w:val="26"/>
      </w:rPr>
      <w:t xml:space="preserve"> </w:t>
    </w:r>
  </w:p>
  <w:p w:rsidR="00120C9F" w:rsidRDefault="00126BBC">
    <w:pPr>
      <w:spacing w:after="0" w:line="259" w:lineRule="auto"/>
      <w:ind w:left="238" w:firstLine="0"/>
      <w:jc w:val="center"/>
    </w:pPr>
    <w:r>
      <w:rPr>
        <w:sz w:val="32"/>
      </w:rPr>
      <w:t xml:space="preserve">Topics to be included in the </w:t>
    </w:r>
  </w:p>
  <w:p w:rsidR="00120C9F" w:rsidRDefault="00126BBC">
    <w:pPr>
      <w:spacing w:after="0" w:line="259" w:lineRule="auto"/>
      <w:ind w:left="1906" w:firstLine="0"/>
    </w:pPr>
    <w:r>
      <w:rPr>
        <w:sz w:val="32"/>
      </w:rPr>
      <w:t xml:space="preserve">Life Settlement Broker License Training Courses </w:t>
    </w:r>
  </w:p>
  <w:p w:rsidR="00120C9F" w:rsidRDefault="00126BBC">
    <w:pPr>
      <w:spacing w:after="0" w:line="259" w:lineRule="auto"/>
      <w:ind w:left="10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C9F" w:rsidRDefault="00126BBC">
    <w:pPr>
      <w:tabs>
        <w:tab w:val="center" w:pos="5063"/>
      </w:tabs>
      <w:spacing w:after="53"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731520</wp:posOffset>
              </wp:positionH>
              <wp:positionV relativeFrom="page">
                <wp:posOffset>1640586</wp:posOffset>
              </wp:positionV>
              <wp:extent cx="6553200" cy="25146"/>
              <wp:effectExtent l="0" t="0" r="0" b="0"/>
              <wp:wrapSquare wrapText="bothSides"/>
              <wp:docPr id="10897" name="Group 10897"/>
              <wp:cNvGraphicFramePr/>
              <a:graphic xmlns:a="http://schemas.openxmlformats.org/drawingml/2006/main">
                <a:graphicData uri="http://schemas.microsoft.com/office/word/2010/wordprocessingGroup">
                  <wpg:wgp>
                    <wpg:cNvGrpSpPr/>
                    <wpg:grpSpPr>
                      <a:xfrm>
                        <a:off x="0" y="0"/>
                        <a:ext cx="6553200" cy="25146"/>
                        <a:chOff x="0" y="0"/>
                        <a:chExt cx="6553200" cy="25146"/>
                      </a:xfrm>
                    </wpg:grpSpPr>
                    <wps:wsp>
                      <wps:cNvPr id="11503" name="Shape 11503"/>
                      <wps:cNvSpPr/>
                      <wps:spPr>
                        <a:xfrm>
                          <a:off x="0" y="0"/>
                          <a:ext cx="6553200" cy="25146"/>
                        </a:xfrm>
                        <a:custGeom>
                          <a:avLst/>
                          <a:gdLst/>
                          <a:ahLst/>
                          <a:cxnLst/>
                          <a:rect l="0" t="0" r="0" b="0"/>
                          <a:pathLst>
                            <a:path w="6553200" h="25146">
                              <a:moveTo>
                                <a:pt x="0" y="0"/>
                              </a:moveTo>
                              <a:lnTo>
                                <a:pt x="6553200" y="0"/>
                              </a:lnTo>
                              <a:lnTo>
                                <a:pt x="6553200" y="25146"/>
                              </a:lnTo>
                              <a:lnTo>
                                <a:pt x="0" y="25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0B1A5B" id="Group 10897" o:spid="_x0000_s1026" style="position:absolute;margin-left:57.6pt;margin-top:129.2pt;width:516pt;height:2pt;z-index:251659264;mso-position-horizontal-relative:page;mso-position-vertical-relative:page" coordsize="655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">
              <v:shape id="Shape 11503" o:spid="_x0000_s1027" style="position:absolute;width:65532;height:251;visibility:visible;mso-wrap-style:square;v-text-anchor:top" coordsize="6553200,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PbJsUA&#10;AADeAAAADwAAAGRycy9kb3ducmV2LnhtbERPS2vCQBC+F/oflil4M5tYlJq6kVJb6EnQttbjkJ08&#10;MDsbsmuM/npXEHqbj+85i+VgGtFT52rLCpIoBkGcW11zqeDn+3P8AsJ5ZI2NZVJwJgfL7PFhgam2&#10;J95Qv/WlCCHsUlRQed+mUrq8IoMusi1x4ArbGfQBdqXUHZ5CuGnkJI5n0mDNoaHClt4ryg/bo1Hw&#10;QfvfP0zOu4O9rHk2X/XJdF8oNXoa3l5BeBr8v/ju/tJhfjKNn+H2TrhB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9smxQAAAN4AAAAPAAAAAAAAAAAAAAAAAJgCAABkcnMv&#10;ZG93bnJldi54bWxQSwUGAAAAAAQABAD1AAAAigMAAAAA&#10;" path="m,l6553200,r,25146l,25146,,e" fillcolor="black" stroked="f" strokeweight="0">
                <v:stroke miterlimit="83231f" joinstyle="miter"/>
                <v:path arrowok="t" textboxrect="0,0,6553200,25146"/>
              </v:shape>
              <w10:wrap type="square" anchorx="page" anchory="page"/>
            </v:group>
          </w:pict>
        </mc:Fallback>
      </mc:AlternateContent>
    </w: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Arial" w:eastAsia="Arial" w:hAnsi="Arial" w:cs="Arial"/>
        <w:sz w:val="36"/>
      </w:rPr>
      <w:t xml:space="preserve">California Department of Insurance </w:t>
    </w:r>
  </w:p>
  <w:p w:rsidR="00120C9F" w:rsidRDefault="00126BBC">
    <w:pPr>
      <w:spacing w:after="0" w:line="259" w:lineRule="auto"/>
      <w:ind w:left="2195" w:firstLine="0"/>
    </w:pPr>
    <w:r>
      <w:rPr>
        <w:i/>
        <w:sz w:val="36"/>
      </w:rPr>
      <w:t>15-Hour Life Settlement Broker Outline</w:t>
    </w:r>
    <w:r>
      <w:rPr>
        <w:sz w:val="36"/>
      </w:rPr>
      <w:t xml:space="preserve"> </w:t>
    </w:r>
  </w:p>
  <w:p w:rsidR="00120C9F" w:rsidRDefault="00126BBC">
    <w:pPr>
      <w:spacing w:after="6" w:line="259" w:lineRule="auto"/>
      <w:ind w:left="1874" w:firstLine="0"/>
    </w:pPr>
    <w:r>
      <w:rPr>
        <w:rFonts w:ascii="Calibri" w:eastAsia="Calibri" w:hAnsi="Calibri" w:cs="Calibri"/>
        <w:sz w:val="26"/>
      </w:rPr>
      <w:t xml:space="preserve"> </w:t>
    </w:r>
  </w:p>
  <w:p w:rsidR="00120C9F" w:rsidRDefault="00126BBC">
    <w:pPr>
      <w:spacing w:after="0" w:line="259" w:lineRule="auto"/>
      <w:ind w:left="238" w:firstLine="0"/>
      <w:jc w:val="center"/>
    </w:pPr>
    <w:r>
      <w:rPr>
        <w:sz w:val="32"/>
      </w:rPr>
      <w:t xml:space="preserve">Topics to be included in the </w:t>
    </w:r>
  </w:p>
  <w:p w:rsidR="00120C9F" w:rsidRDefault="00126BBC" w:rsidP="002046E1">
    <w:pPr>
      <w:tabs>
        <w:tab w:val="right" w:pos="9899"/>
      </w:tabs>
      <w:spacing w:after="0" w:line="259" w:lineRule="auto"/>
      <w:ind w:left="1906" w:firstLine="0"/>
    </w:pPr>
    <w:r>
      <w:rPr>
        <w:sz w:val="32"/>
      </w:rPr>
      <w:t xml:space="preserve">Life Settlement Broker License Training Courses </w:t>
    </w:r>
    <w:r w:rsidR="002046E1">
      <w:rPr>
        <w:sz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C9F" w:rsidRDefault="00126BBC">
    <w:pPr>
      <w:tabs>
        <w:tab w:val="center" w:pos="5063"/>
      </w:tabs>
      <w:spacing w:after="53"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731520</wp:posOffset>
              </wp:positionH>
              <wp:positionV relativeFrom="page">
                <wp:posOffset>1640586</wp:posOffset>
              </wp:positionV>
              <wp:extent cx="6553200" cy="25146"/>
              <wp:effectExtent l="0" t="0" r="0" b="0"/>
              <wp:wrapSquare wrapText="bothSides"/>
              <wp:docPr id="10860" name="Group 10860"/>
              <wp:cNvGraphicFramePr/>
              <a:graphic xmlns:a="http://schemas.openxmlformats.org/drawingml/2006/main">
                <a:graphicData uri="http://schemas.microsoft.com/office/word/2010/wordprocessingGroup">
                  <wpg:wgp>
                    <wpg:cNvGrpSpPr/>
                    <wpg:grpSpPr>
                      <a:xfrm>
                        <a:off x="0" y="0"/>
                        <a:ext cx="6553200" cy="25146"/>
                        <a:chOff x="0" y="0"/>
                        <a:chExt cx="6553200" cy="25146"/>
                      </a:xfrm>
                    </wpg:grpSpPr>
                    <wps:wsp>
                      <wps:cNvPr id="11502" name="Shape 11502"/>
                      <wps:cNvSpPr/>
                      <wps:spPr>
                        <a:xfrm>
                          <a:off x="0" y="0"/>
                          <a:ext cx="6553200" cy="25146"/>
                        </a:xfrm>
                        <a:custGeom>
                          <a:avLst/>
                          <a:gdLst/>
                          <a:ahLst/>
                          <a:cxnLst/>
                          <a:rect l="0" t="0" r="0" b="0"/>
                          <a:pathLst>
                            <a:path w="6553200" h="25146">
                              <a:moveTo>
                                <a:pt x="0" y="0"/>
                              </a:moveTo>
                              <a:lnTo>
                                <a:pt x="6553200" y="0"/>
                              </a:lnTo>
                              <a:lnTo>
                                <a:pt x="6553200" y="25146"/>
                              </a:lnTo>
                              <a:lnTo>
                                <a:pt x="0" y="251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DD7705" id="Group 10860" o:spid="_x0000_s1026" style="position:absolute;margin-left:57.6pt;margin-top:129.2pt;width:516pt;height:2pt;z-index:251660288;mso-position-horizontal-relative:page;mso-position-vertical-relative:page" coordsize="655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">
              <v:shape id="Shape 11502" o:spid="_x0000_s1027" style="position:absolute;width:65532;height:251;visibility:visible;mso-wrap-style:square;v-text-anchor:top" coordsize="6553200,2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vcUA&#10;AADeAAAADwAAAGRycy9kb3ducmV2LnhtbERPS2vCQBC+C/0PyxR6000CBhtdpfQBPQnVtnocsmMS&#10;kp0N2W1M/PVdQfA2H99zVpvBNKKnzlWWFcSzCARxbnXFhYLv/cd0AcJ5ZI2NZVIwkoPN+mGywkzb&#10;M39Rv/OFCCHsMlRQet9mUrq8JINuZlviwJ1sZ9AH2BVSd3gO4aaRSRSl0mDFoaHEll5Lyuvdn1Hw&#10;TsefA8bjb20vW06f3/p4fjwp9fQ4vCxBeBr8XXxzf+owP55HCVzfCT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369xQAAAN4AAAAPAAAAAAAAAAAAAAAAAJgCAABkcnMv&#10;ZG93bnJldi54bWxQSwUGAAAAAAQABAD1AAAAigMAAAAA&#10;" path="m,l6553200,r,25146l,25146,,e" fillcolor="black" stroked="f" strokeweight="0">
                <v:stroke miterlimit="83231f" joinstyle="miter"/>
                <v:path arrowok="t" textboxrect="0,0,6553200,25146"/>
              </v:shape>
              <w10:wrap type="square" anchorx="page" anchory="page"/>
            </v:group>
          </w:pict>
        </mc:Fallback>
      </mc:AlternateContent>
    </w:r>
    <w:r>
      <w:rPr>
        <w:rFonts w:ascii="Calibri" w:eastAsia="Calibri" w:hAnsi="Calibri" w:cs="Calibri"/>
        <w:sz w:val="31"/>
        <w:vertAlign w:val="superscript"/>
      </w:rPr>
      <w:t xml:space="preserve"> </w:t>
    </w:r>
    <w:r>
      <w:rPr>
        <w:rFonts w:ascii="Calibri" w:eastAsia="Calibri" w:hAnsi="Calibri" w:cs="Calibri"/>
        <w:sz w:val="31"/>
        <w:vertAlign w:val="superscript"/>
      </w:rPr>
      <w:tab/>
    </w:r>
    <w:r>
      <w:rPr>
        <w:rFonts w:ascii="Arial" w:eastAsia="Arial" w:hAnsi="Arial" w:cs="Arial"/>
        <w:sz w:val="36"/>
      </w:rPr>
      <w:t xml:space="preserve">California Department of Insurance </w:t>
    </w:r>
  </w:p>
  <w:p w:rsidR="00120C9F" w:rsidRDefault="00126BBC">
    <w:pPr>
      <w:spacing w:after="0" w:line="259" w:lineRule="auto"/>
      <w:ind w:left="2195" w:firstLine="0"/>
    </w:pPr>
    <w:r>
      <w:rPr>
        <w:i/>
        <w:sz w:val="36"/>
      </w:rPr>
      <w:t>15-Hour Life Settlement Broker Outline</w:t>
    </w:r>
    <w:r>
      <w:rPr>
        <w:sz w:val="36"/>
      </w:rPr>
      <w:t xml:space="preserve"> </w:t>
    </w:r>
  </w:p>
  <w:p w:rsidR="00120C9F" w:rsidRDefault="00126BBC">
    <w:pPr>
      <w:spacing w:after="6" w:line="259" w:lineRule="auto"/>
      <w:ind w:left="1874" w:firstLine="0"/>
    </w:pPr>
    <w:r>
      <w:rPr>
        <w:rFonts w:ascii="Calibri" w:eastAsia="Calibri" w:hAnsi="Calibri" w:cs="Calibri"/>
        <w:sz w:val="26"/>
      </w:rPr>
      <w:t xml:space="preserve"> </w:t>
    </w:r>
  </w:p>
  <w:p w:rsidR="00120C9F" w:rsidRDefault="00126BBC">
    <w:pPr>
      <w:spacing w:after="0" w:line="259" w:lineRule="auto"/>
      <w:ind w:left="238" w:firstLine="0"/>
      <w:jc w:val="center"/>
    </w:pPr>
    <w:r>
      <w:rPr>
        <w:sz w:val="32"/>
      </w:rPr>
      <w:t xml:space="preserve">Topics to be included in the </w:t>
    </w:r>
  </w:p>
  <w:p w:rsidR="00120C9F" w:rsidRDefault="00126BBC">
    <w:pPr>
      <w:spacing w:after="0" w:line="259" w:lineRule="auto"/>
      <w:ind w:left="1906" w:firstLine="0"/>
    </w:pPr>
    <w:r>
      <w:rPr>
        <w:sz w:val="32"/>
      </w:rPr>
      <w:t xml:space="preserve">Life Settlement Broker License Training Courses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A7E"/>
    <w:multiLevelType w:val="hybridMultilevel"/>
    <w:tmpl w:val="6D6E8480"/>
    <w:lvl w:ilvl="0" w:tplc="92E4B0A8">
      <w:start w:val="1"/>
      <w:numFmt w:val="decimal"/>
      <w:lvlText w:val="%1."/>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0AC4C">
      <w:start w:val="1"/>
      <w:numFmt w:val="lowerLetter"/>
      <w:lvlText w:val="%2"/>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CE7C0">
      <w:start w:val="1"/>
      <w:numFmt w:val="lowerRoman"/>
      <w:lvlText w:val="%3"/>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8AD62">
      <w:start w:val="1"/>
      <w:numFmt w:val="decimal"/>
      <w:lvlText w:val="%4"/>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80F08">
      <w:start w:val="1"/>
      <w:numFmt w:val="lowerLetter"/>
      <w:lvlText w:val="%5"/>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697E4">
      <w:start w:val="1"/>
      <w:numFmt w:val="lowerRoman"/>
      <w:lvlText w:val="%6"/>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8226E">
      <w:start w:val="1"/>
      <w:numFmt w:val="decimal"/>
      <w:lvlText w:val="%7"/>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0C274">
      <w:start w:val="1"/>
      <w:numFmt w:val="lowerLetter"/>
      <w:lvlText w:val="%8"/>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40334">
      <w:start w:val="1"/>
      <w:numFmt w:val="lowerRoman"/>
      <w:lvlText w:val="%9"/>
      <w:lvlJc w:val="left"/>
      <w:pPr>
        <w:ind w:left="7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E03A0F"/>
    <w:multiLevelType w:val="hybridMultilevel"/>
    <w:tmpl w:val="39DADCEE"/>
    <w:lvl w:ilvl="0" w:tplc="2684180C">
      <w:start w:val="4"/>
      <w:numFmt w:val="upperLetter"/>
      <w:lvlText w:val="%1."/>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4DDD8">
      <w:start w:val="1"/>
      <w:numFmt w:val="decimal"/>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0A02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1F8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C040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66C2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628A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4698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E877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7A0ADA"/>
    <w:multiLevelType w:val="hybridMultilevel"/>
    <w:tmpl w:val="E62A612C"/>
    <w:lvl w:ilvl="0" w:tplc="39FE1322">
      <w:start w:val="1"/>
      <w:numFmt w:val="decimal"/>
      <w:lvlText w:val="%1."/>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8806E">
      <w:start w:val="1"/>
      <w:numFmt w:val="lowerLetter"/>
      <w:lvlText w:val="%2"/>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E8B9C">
      <w:start w:val="1"/>
      <w:numFmt w:val="lowerRoman"/>
      <w:lvlText w:val="%3"/>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89338">
      <w:start w:val="1"/>
      <w:numFmt w:val="decimal"/>
      <w:lvlText w:val="%4"/>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43A38">
      <w:start w:val="1"/>
      <w:numFmt w:val="lowerLetter"/>
      <w:lvlText w:val="%5"/>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D17C">
      <w:start w:val="1"/>
      <w:numFmt w:val="lowerRoman"/>
      <w:lvlText w:val="%6"/>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52AF9E">
      <w:start w:val="1"/>
      <w:numFmt w:val="decimal"/>
      <w:lvlText w:val="%7"/>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0E448">
      <w:start w:val="1"/>
      <w:numFmt w:val="lowerLetter"/>
      <w:lvlText w:val="%8"/>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2D16A">
      <w:start w:val="1"/>
      <w:numFmt w:val="lowerRoman"/>
      <w:lvlText w:val="%9"/>
      <w:lvlJc w:val="left"/>
      <w:pPr>
        <w:ind w:left="7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812675"/>
    <w:multiLevelType w:val="hybridMultilevel"/>
    <w:tmpl w:val="17A80532"/>
    <w:lvl w:ilvl="0" w:tplc="CFA8DC04">
      <w:start w:val="1"/>
      <w:numFmt w:val="upperLetter"/>
      <w:lvlText w:val="%1."/>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88F6A">
      <w:start w:val="1"/>
      <w:numFmt w:val="decimal"/>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83FF8">
      <w:start w:val="1"/>
      <w:numFmt w:val="lowerLetter"/>
      <w:lvlText w:val="%3."/>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4598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E4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8B6B8">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A958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0EBE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A6C9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A43E77"/>
    <w:multiLevelType w:val="hybridMultilevel"/>
    <w:tmpl w:val="19AE676A"/>
    <w:lvl w:ilvl="0" w:tplc="D304BCE6">
      <w:start w:val="1"/>
      <w:numFmt w:val="upperLetter"/>
      <w:lvlText w:val="%1."/>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72468C">
      <w:start w:val="1"/>
      <w:numFmt w:val="decimal"/>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A6BC2">
      <w:start w:val="1"/>
      <w:numFmt w:val="lowerLetter"/>
      <w:lvlText w:val="%3."/>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8EC0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6FDD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C5D8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652E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8C8E8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AA35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433EA2"/>
    <w:multiLevelType w:val="hybridMultilevel"/>
    <w:tmpl w:val="FA7C3436"/>
    <w:lvl w:ilvl="0" w:tplc="5FEA0B9C">
      <w:start w:val="1"/>
      <w:numFmt w:val="upperLetter"/>
      <w:lvlText w:val="%1."/>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4A988">
      <w:start w:val="1"/>
      <w:numFmt w:val="decimal"/>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00CC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3ABC8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ED62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A74C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92B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43D2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C695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30393"/>
    <w:multiLevelType w:val="hybridMultilevel"/>
    <w:tmpl w:val="9DE284F4"/>
    <w:lvl w:ilvl="0" w:tplc="E72287CE">
      <w:start w:val="1"/>
      <w:numFmt w:val="bullet"/>
      <w:lvlText w:val="•"/>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C0C44">
      <w:start w:val="1"/>
      <w:numFmt w:val="bullet"/>
      <w:lvlText w:val="o"/>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E0B3F6">
      <w:start w:val="1"/>
      <w:numFmt w:val="bullet"/>
      <w:lvlText w:val="▪"/>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8E8C8">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BC695E">
      <w:start w:val="1"/>
      <w:numFmt w:val="bullet"/>
      <w:lvlText w:val="o"/>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4EAD6E">
      <w:start w:val="1"/>
      <w:numFmt w:val="bullet"/>
      <w:lvlText w:val="▪"/>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E61D1C">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FCA400">
      <w:start w:val="1"/>
      <w:numFmt w:val="bullet"/>
      <w:lvlText w:val="o"/>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C9154">
      <w:start w:val="1"/>
      <w:numFmt w:val="bullet"/>
      <w:lvlText w:val="▪"/>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F323FE"/>
    <w:multiLevelType w:val="hybridMultilevel"/>
    <w:tmpl w:val="F5AEAF66"/>
    <w:lvl w:ilvl="0" w:tplc="8E3876F0">
      <w:start w:val="1"/>
      <w:numFmt w:val="upperLetter"/>
      <w:lvlText w:val="%1."/>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4F960">
      <w:start w:val="1"/>
      <w:numFmt w:val="decimal"/>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A7CE0">
      <w:start w:val="1"/>
      <w:numFmt w:val="lowerLetter"/>
      <w:lvlText w:val="%3."/>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EC30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03B8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0273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E126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AB25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20157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8C7FB3"/>
    <w:multiLevelType w:val="hybridMultilevel"/>
    <w:tmpl w:val="80EE9496"/>
    <w:lvl w:ilvl="0" w:tplc="AF8894B0">
      <w:start w:val="1"/>
      <w:numFmt w:val="upperLetter"/>
      <w:lvlText w:val="%1."/>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C426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AF5C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0C04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A604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03A7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A190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ED0F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5A0F9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3969F5"/>
    <w:multiLevelType w:val="hybridMultilevel"/>
    <w:tmpl w:val="4192CA98"/>
    <w:lvl w:ilvl="0" w:tplc="A642C876">
      <w:start w:val="1"/>
      <w:numFmt w:val="upperLetter"/>
      <w:lvlText w:val="%1."/>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05842">
      <w:start w:val="1"/>
      <w:numFmt w:val="decimal"/>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A59A4">
      <w:start w:val="1"/>
      <w:numFmt w:val="lowerLetter"/>
      <w:lvlText w:val="%3."/>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3E705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ED942">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C739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A6D3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C0A9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29D2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6C7E82"/>
    <w:multiLevelType w:val="hybridMultilevel"/>
    <w:tmpl w:val="41E08CE6"/>
    <w:lvl w:ilvl="0" w:tplc="E0A817FA">
      <w:start w:val="1"/>
      <w:numFmt w:val="upperLetter"/>
      <w:lvlText w:val="%1."/>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0F166">
      <w:start w:val="1"/>
      <w:numFmt w:val="decimal"/>
      <w:lvlText w:val="%2."/>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BE0E68">
      <w:start w:val="1"/>
      <w:numFmt w:val="lowerLetter"/>
      <w:lvlText w:val="%3."/>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E62B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EC38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4B0B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A72C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88BC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2AA8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0"/>
  </w:num>
  <w:num w:numId="4">
    <w:abstractNumId w:val="1"/>
  </w:num>
  <w:num w:numId="5">
    <w:abstractNumId w:val="8"/>
  </w:num>
  <w:num w:numId="6">
    <w:abstractNumId w:val="7"/>
  </w:num>
  <w:num w:numId="7">
    <w:abstractNumId w:val="10"/>
  </w:num>
  <w:num w:numId="8">
    <w:abstractNumId w:val="3"/>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120C9F"/>
    <w:rsid w:val="0000720A"/>
    <w:rsid w:val="000B6000"/>
    <w:rsid w:val="000E662A"/>
    <w:rsid w:val="00120C9F"/>
    <w:rsid w:val="00126BBC"/>
    <w:rsid w:val="00145F4D"/>
    <w:rsid w:val="00182AA4"/>
    <w:rsid w:val="002046E1"/>
    <w:rsid w:val="002668E4"/>
    <w:rsid w:val="00343960"/>
    <w:rsid w:val="00371D57"/>
    <w:rsid w:val="00392613"/>
    <w:rsid w:val="00397C88"/>
    <w:rsid w:val="003D1637"/>
    <w:rsid w:val="004B7C16"/>
    <w:rsid w:val="00513336"/>
    <w:rsid w:val="005650F1"/>
    <w:rsid w:val="005F41F3"/>
    <w:rsid w:val="00643E97"/>
    <w:rsid w:val="007E3878"/>
    <w:rsid w:val="009D4E0D"/>
    <w:rsid w:val="00A06914"/>
    <w:rsid w:val="00AB02D9"/>
    <w:rsid w:val="00AD455B"/>
    <w:rsid w:val="00D016A5"/>
    <w:rsid w:val="00D33296"/>
    <w:rsid w:val="00D77F8F"/>
    <w:rsid w:val="00DE56EF"/>
    <w:rsid w:val="00E65E42"/>
    <w:rsid w:val="00EA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86F4B"/>
  <w15:docId w15:val="{E11F66C9-C00E-40E4-ABBA-170219A6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9" w:lineRule="auto"/>
      <w:ind w:left="96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44" w:lineRule="auto"/>
      <w:ind w:left="232" w:right="8514" w:hanging="132"/>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232"/>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4" w:line="252" w:lineRule="auto"/>
      <w:ind w:left="242"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113" w:line="302" w:lineRule="auto"/>
      <w:ind w:left="412" w:hanging="18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D1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37"/>
    <w:rPr>
      <w:rFonts w:ascii="Segoe UI" w:eastAsia="Times New Roman" w:hAnsi="Segoe UI" w:cs="Segoe UI"/>
      <w:color w:val="000000"/>
      <w:sz w:val="18"/>
      <w:szCs w:val="18"/>
    </w:rPr>
  </w:style>
  <w:style w:type="paragraph" w:customStyle="1" w:styleId="zzTrailerDocName">
    <w:name w:val="zzTrailerDocName"/>
    <w:basedOn w:val="Normal"/>
    <w:link w:val="zzTrailerDocNameChar"/>
    <w:rsid w:val="00371D57"/>
    <w:pPr>
      <w:spacing w:after="5" w:line="251" w:lineRule="auto"/>
      <w:ind w:left="227" w:right="8514" w:hanging="142"/>
    </w:pPr>
    <w:rPr>
      <w:rFonts w:ascii="Calibri" w:eastAsia="Calibri" w:hAnsi="Calibri" w:cs="Calibri"/>
      <w:sz w:val="16"/>
    </w:rPr>
  </w:style>
  <w:style w:type="character" w:customStyle="1" w:styleId="zzTrailerDocNameChar">
    <w:name w:val="zzTrailerDocName Char"/>
    <w:basedOn w:val="DefaultParagraphFont"/>
    <w:link w:val="zzTrailerDocName"/>
    <w:rsid w:val="00371D57"/>
    <w:rPr>
      <w:rFonts w:ascii="Calibri" w:eastAsia="Calibri" w:hAnsi="Calibri" w:cs="Calibri"/>
      <w:color w:val="000000"/>
      <w:sz w:val="16"/>
    </w:rPr>
  </w:style>
  <w:style w:type="character" w:styleId="CommentReference">
    <w:name w:val="annotation reference"/>
    <w:basedOn w:val="DefaultParagraphFont"/>
    <w:uiPriority w:val="99"/>
    <w:semiHidden/>
    <w:unhideWhenUsed/>
    <w:rsid w:val="00E65E42"/>
    <w:rPr>
      <w:sz w:val="16"/>
      <w:szCs w:val="16"/>
    </w:rPr>
  </w:style>
  <w:style w:type="paragraph" w:styleId="CommentText">
    <w:name w:val="annotation text"/>
    <w:basedOn w:val="Normal"/>
    <w:link w:val="CommentTextChar"/>
    <w:uiPriority w:val="99"/>
    <w:semiHidden/>
    <w:unhideWhenUsed/>
    <w:rsid w:val="00E65E42"/>
    <w:pPr>
      <w:spacing w:line="240" w:lineRule="auto"/>
    </w:pPr>
    <w:rPr>
      <w:sz w:val="20"/>
      <w:szCs w:val="20"/>
    </w:rPr>
  </w:style>
  <w:style w:type="character" w:customStyle="1" w:styleId="CommentTextChar">
    <w:name w:val="Comment Text Char"/>
    <w:basedOn w:val="DefaultParagraphFont"/>
    <w:link w:val="CommentText"/>
    <w:uiPriority w:val="99"/>
    <w:semiHidden/>
    <w:rsid w:val="00E65E4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65E42"/>
    <w:rPr>
      <w:b/>
      <w:bCs/>
    </w:rPr>
  </w:style>
  <w:style w:type="character" w:customStyle="1" w:styleId="CommentSubjectChar">
    <w:name w:val="Comment Subject Char"/>
    <w:basedOn w:val="CommentTextChar"/>
    <w:link w:val="CommentSubject"/>
    <w:uiPriority w:val="99"/>
    <w:semiHidden/>
    <w:rsid w:val="00E65E42"/>
    <w:rPr>
      <w:rFonts w:ascii="Times New Roman" w:eastAsia="Times New Roman" w:hAnsi="Times New Roman" w:cs="Times New Roman"/>
      <w:b/>
      <w:bCs/>
      <w:color w:val="000000"/>
      <w:sz w:val="20"/>
      <w:szCs w:val="20"/>
    </w:rPr>
  </w:style>
  <w:style w:type="paragraph" w:styleId="Revision">
    <w:name w:val="Revision"/>
    <w:hidden/>
    <w:uiPriority w:val="99"/>
    <w:semiHidden/>
    <w:rsid w:val="00E65E4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Microsoft Word - LifeSettlementBrokerOutline (002).docx</vt:lpstr>
    </vt:vector>
  </TitlesOfParts>
  <Company>Department of Insurance</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LifeSettlementBrokerOutline (002).docx</dc:title>
  <dc:subject/>
  <dc:creator>bankstonr</dc:creator>
  <cp:keywords/>
  <cp:lastModifiedBy>Kinney, Holly</cp:lastModifiedBy>
  <cp:revision>2</cp:revision>
  <dcterms:created xsi:type="dcterms:W3CDTF">2021-07-07T22:55:00Z</dcterms:created>
  <dcterms:modified xsi:type="dcterms:W3CDTF">2021-07-07T22:55:00Z</dcterms:modified>
</cp:coreProperties>
</file>