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2093" w14:textId="77777777"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lang w:val="es-419"/>
        </w:rPr>
      </w:pPr>
      <w:r w:rsidRPr="0078598D">
        <w:rPr>
          <w:b/>
          <w:lang w:val="es-419"/>
        </w:rPr>
        <w:t>Información general</w:t>
      </w:r>
    </w:p>
    <w:p w14:paraId="43CB7511" w14:textId="77777777" w:rsidR="00004328" w:rsidRPr="007859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p>
    <w:p w14:paraId="6F56DE35" w14:textId="13A214FD" w:rsidR="00260C47" w:rsidRPr="0078598D" w:rsidRDefault="00260C47">
      <w:pPr>
        <w:pStyle w:val="HTMLPreformatted"/>
        <w:rPr>
          <w:rFonts w:ascii="Arial" w:hAnsi="Arial" w:cs="Arial"/>
          <w:sz w:val="24"/>
          <w:szCs w:val="24"/>
          <w:lang w:val="es-419"/>
        </w:rPr>
      </w:pPr>
      <w:r w:rsidRPr="0078598D">
        <w:rPr>
          <w:rFonts w:ascii="Arial" w:hAnsi="Arial"/>
          <w:sz w:val="24"/>
          <w:lang w:val="es-419"/>
        </w:rPr>
        <w:t>El art. 1749(g) del Código de Seguros de California (</w:t>
      </w:r>
      <w:bookmarkStart w:id="0" w:name="_Hlk69203398"/>
      <w:r w:rsidRPr="0078598D">
        <w:rPr>
          <w:rFonts w:ascii="Arial" w:hAnsi="Arial"/>
          <w:sz w:val="24"/>
          <w:lang w:val="es-419"/>
        </w:rPr>
        <w:t xml:space="preserve">California </w:t>
      </w:r>
      <w:proofErr w:type="spellStart"/>
      <w:r w:rsidRPr="0078598D">
        <w:rPr>
          <w:rFonts w:ascii="Arial" w:hAnsi="Arial"/>
          <w:sz w:val="24"/>
          <w:lang w:val="es-419"/>
        </w:rPr>
        <w:t>Insurance</w:t>
      </w:r>
      <w:proofErr w:type="spellEnd"/>
      <w:r w:rsidRPr="0078598D">
        <w:rPr>
          <w:rFonts w:ascii="Arial" w:hAnsi="Arial"/>
          <w:sz w:val="24"/>
          <w:lang w:val="es-419"/>
        </w:rPr>
        <w:t xml:space="preserve"> </w:t>
      </w:r>
      <w:proofErr w:type="spellStart"/>
      <w:r w:rsidRPr="0078598D">
        <w:rPr>
          <w:rFonts w:ascii="Arial" w:hAnsi="Arial"/>
          <w:sz w:val="24"/>
          <w:lang w:val="es-419"/>
        </w:rPr>
        <w:t>Code</w:t>
      </w:r>
      <w:bookmarkEnd w:id="0"/>
      <w:proofErr w:type="spellEnd"/>
      <w:r w:rsidRPr="0078598D">
        <w:rPr>
          <w:rFonts w:ascii="Arial" w:hAnsi="Arial"/>
          <w:sz w:val="24"/>
          <w:lang w:val="es-419"/>
        </w:rPr>
        <w:t xml:space="preserve">) estipula, entre otros, que </w:t>
      </w:r>
      <w:r w:rsidRPr="0078598D">
        <w:rPr>
          <w:rFonts w:ascii="Arial" w:hAnsi="Arial"/>
          <w:sz w:val="24"/>
          <w:bdr w:val="none" w:sz="0" w:space="0" w:color="auto" w:frame="1"/>
          <w:lang w:val="es-419"/>
        </w:rPr>
        <w:t xml:space="preserve">además de las 20 horas de formación previa que se requieren para obtener una licencia como corredor-agente de seguros patrimoniales, seguros contra accidentes, líneas de seguros para particulares, seguros de vida o seguros de accidentes y de salud o contra enfermedades, o las 20 horas de formación previa que se requieren para obtener una licencia como agente de seguros para automóviles de líneas limitadas, el Departamento de Seguros de California (California </w:t>
      </w:r>
      <w:proofErr w:type="spellStart"/>
      <w:r w:rsidRPr="0078598D">
        <w:rPr>
          <w:rFonts w:ascii="Arial" w:hAnsi="Arial"/>
          <w:sz w:val="24"/>
          <w:bdr w:val="none" w:sz="0" w:space="0" w:color="auto" w:frame="1"/>
          <w:lang w:val="es-419"/>
        </w:rPr>
        <w:t>Department</w:t>
      </w:r>
      <w:proofErr w:type="spellEnd"/>
      <w:r w:rsidRPr="0078598D">
        <w:rPr>
          <w:rFonts w:ascii="Arial" w:hAnsi="Arial"/>
          <w:sz w:val="24"/>
          <w:bdr w:val="none" w:sz="0" w:space="0" w:color="auto" w:frame="1"/>
          <w:lang w:val="es-419"/>
        </w:rPr>
        <w:t xml:space="preserve"> of </w:t>
      </w:r>
      <w:proofErr w:type="spellStart"/>
      <w:r w:rsidRPr="0078598D">
        <w:rPr>
          <w:rFonts w:ascii="Arial" w:hAnsi="Arial"/>
          <w:sz w:val="24"/>
          <w:bdr w:val="none" w:sz="0" w:space="0" w:color="auto" w:frame="1"/>
          <w:lang w:val="es-419"/>
        </w:rPr>
        <w:t>Insurance</w:t>
      </w:r>
      <w:proofErr w:type="spellEnd"/>
      <w:r w:rsidRPr="0078598D">
        <w:rPr>
          <w:rFonts w:ascii="Arial" w:hAnsi="Arial"/>
          <w:sz w:val="24"/>
          <w:bdr w:val="none" w:sz="0" w:space="0" w:color="auto" w:frame="1"/>
          <w:lang w:val="es-419"/>
        </w:rPr>
        <w:t>, CDI) exige 12 horas de formación sobre ética y este código. Cuando un solicitante aspira obtener más de uno de los siguientes tipos de licencia: agente de seguros inmobiliarios, agente de seguros contra accidentes, agente de líneas de seguros para particulares, agente de seguros de vida o de agente de seguros de accidentes y salud o contra enfermedades, el solicitante solo deberá completar un curso de 12</w:t>
      </w:r>
      <w:r w:rsidR="002A036E">
        <w:rPr>
          <w:rFonts w:ascii="Arial" w:hAnsi="Arial"/>
          <w:sz w:val="24"/>
          <w:bdr w:val="none" w:sz="0" w:space="0" w:color="auto" w:frame="1"/>
          <w:lang w:val="es-419"/>
        </w:rPr>
        <w:t> </w:t>
      </w:r>
      <w:r w:rsidRPr="0078598D">
        <w:rPr>
          <w:rFonts w:ascii="Arial" w:hAnsi="Arial"/>
          <w:sz w:val="24"/>
          <w:bdr w:val="none" w:sz="0" w:space="0" w:color="auto" w:frame="1"/>
          <w:lang w:val="es-419"/>
        </w:rPr>
        <w:t>horas sobre ética y este código. Para cumplir este requisito, la junta de planes de estudios deberá aprobar el plan de estudios, que deberá presentarse ante el comisionado para su aprobación final.</w:t>
      </w:r>
    </w:p>
    <w:p w14:paraId="72979548" w14:textId="77777777"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u w:val="single"/>
          <w:lang w:val="es-419"/>
        </w:rPr>
      </w:pPr>
    </w:p>
    <w:p w14:paraId="3C46D914" w14:textId="77777777" w:rsidR="00260C47" w:rsidRPr="007859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lang w:val="es-419"/>
        </w:rPr>
      </w:pPr>
      <w:r w:rsidRPr="0078598D">
        <w:rPr>
          <w:b/>
          <w:lang w:val="es-419"/>
        </w:rPr>
        <w:t>Objetivos de aprendizaje</w:t>
      </w:r>
    </w:p>
    <w:p w14:paraId="050299BA" w14:textId="77777777" w:rsidR="00004328" w:rsidRPr="007859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p>
    <w:p w14:paraId="4FD036A8" w14:textId="71EE0EEC"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r w:rsidRPr="0078598D">
        <w:rPr>
          <w:lang w:val="es-419"/>
        </w:rPr>
        <w:t>Los objetivos de aprendizaje proceden del plan de estudios detallado en el Título 10,</w:t>
      </w:r>
      <w:r w:rsidR="002A036E">
        <w:rPr>
          <w:lang w:val="es-419"/>
        </w:rPr>
        <w:br/>
      </w:r>
      <w:r w:rsidRPr="0078598D">
        <w:rPr>
          <w:lang w:val="es-419"/>
        </w:rPr>
        <w:t>Capítulo 5, Subcapítulo 1, sección 6.5, art. 2187.7 del Código de Regulaciones de California</w:t>
      </w:r>
      <w:r w:rsidR="002A036E">
        <w:rPr>
          <w:lang w:val="es-419"/>
        </w:rPr>
        <w:br/>
      </w:r>
      <w:r w:rsidRPr="0078598D">
        <w:rPr>
          <w:lang w:val="es-419"/>
        </w:rPr>
        <w:t>(</w:t>
      </w:r>
      <w:bookmarkStart w:id="1" w:name="_Hlk69205527"/>
      <w:r w:rsidRPr="0078598D">
        <w:rPr>
          <w:lang w:val="es-419"/>
        </w:rPr>
        <w:t xml:space="preserve">10 California </w:t>
      </w:r>
      <w:proofErr w:type="spellStart"/>
      <w:r w:rsidRPr="0078598D">
        <w:rPr>
          <w:lang w:val="es-419"/>
        </w:rPr>
        <w:t>Regulations</w:t>
      </w:r>
      <w:proofErr w:type="spellEnd"/>
      <w:r w:rsidRPr="0078598D">
        <w:rPr>
          <w:lang w:val="es-419"/>
        </w:rPr>
        <w:t xml:space="preserve"> </w:t>
      </w:r>
      <w:proofErr w:type="spellStart"/>
      <w:r w:rsidRPr="0078598D">
        <w:rPr>
          <w:lang w:val="es-419"/>
        </w:rPr>
        <w:t>Code</w:t>
      </w:r>
      <w:proofErr w:type="spellEnd"/>
      <w:r w:rsidRPr="0078598D">
        <w:rPr>
          <w:lang w:val="es-419"/>
        </w:rPr>
        <w:t xml:space="preserve">). </w:t>
      </w:r>
      <w:bookmarkEnd w:id="1"/>
    </w:p>
    <w:p w14:paraId="01CDACD1" w14:textId="77777777"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u w:val="single"/>
          <w:lang w:val="es-419"/>
        </w:rPr>
      </w:pPr>
    </w:p>
    <w:p w14:paraId="4A6B82FA" w14:textId="77777777" w:rsidR="00260C47" w:rsidRPr="007859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lang w:val="es-419"/>
        </w:rPr>
      </w:pPr>
      <w:r w:rsidRPr="0078598D">
        <w:rPr>
          <w:b/>
          <w:lang w:val="es-419"/>
        </w:rPr>
        <w:t>Ética y Código de Seguros de California</w:t>
      </w:r>
    </w:p>
    <w:p w14:paraId="198C7B61" w14:textId="77777777" w:rsidR="00004328" w:rsidRPr="007859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p>
    <w:p w14:paraId="3D65F874" w14:textId="10E50CEA"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r w:rsidRPr="0078598D">
        <w:rPr>
          <w:snapToGrid/>
          <w:lang w:val="es-419"/>
        </w:rPr>
        <w:t>Las 12 horas obligatorias de formación sobre ética y el Código de Seguros de California deben incluir como mínimo el material presente en estos objetivos.</w:t>
      </w:r>
    </w:p>
    <w:p w14:paraId="0BF9472C" w14:textId="77777777" w:rsidR="00260C47" w:rsidRPr="007859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u w:val="single"/>
          <w:lang w:val="es-419"/>
        </w:rPr>
      </w:pPr>
    </w:p>
    <w:p w14:paraId="752C0BF8" w14:textId="77777777" w:rsidR="00260C47" w:rsidRPr="007859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lang w:val="es-419"/>
        </w:rPr>
      </w:pPr>
      <w:r w:rsidRPr="0078598D">
        <w:rPr>
          <w:b/>
          <w:lang w:val="es-419"/>
        </w:rPr>
        <w:t>El examen</w:t>
      </w:r>
    </w:p>
    <w:p w14:paraId="35D410A5" w14:textId="77777777" w:rsidR="00004328" w:rsidRPr="007859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lang w:val="es-419"/>
        </w:rPr>
      </w:pPr>
    </w:p>
    <w:p w14:paraId="238F64FB" w14:textId="06D1E256" w:rsidR="004A1D59" w:rsidRPr="0078598D" w:rsidRDefault="004A1D59" w:rsidP="00DA397B">
      <w:pPr>
        <w:tabs>
          <w:tab w:val="left" w:pos="-1080"/>
        </w:tabs>
        <w:rPr>
          <w:rFonts w:cs="Arial"/>
          <w:snapToGrid/>
          <w:szCs w:val="24"/>
          <w:lang w:val="es-419"/>
        </w:rPr>
      </w:pPr>
      <w:r w:rsidRPr="0078598D">
        <w:rPr>
          <w:snapToGrid/>
          <w:lang w:val="es-419"/>
        </w:rPr>
        <w:t>Los exámenes del CDI se presentan en el centro de pruebas del CDI en Los Ángeles, en uno de los muchos centros de pruebas de PSI Services LLC (PSI) en todo California, o como un examen supervisado remoto por Internet a través de PSI, que es el proveedor de exámenes</w:t>
      </w:r>
      <w:r w:rsidR="002A036E">
        <w:rPr>
          <w:snapToGrid/>
          <w:lang w:val="es-419"/>
        </w:rPr>
        <w:br/>
      </w:r>
      <w:r w:rsidRPr="0078598D">
        <w:rPr>
          <w:snapToGrid/>
          <w:lang w:val="es-419"/>
        </w:rPr>
        <w:t>del CDI.</w:t>
      </w:r>
    </w:p>
    <w:p w14:paraId="4F21BF42" w14:textId="77777777" w:rsidR="004A1D59" w:rsidRPr="0078598D" w:rsidRDefault="004A1D59" w:rsidP="00DA397B">
      <w:pPr>
        <w:tabs>
          <w:tab w:val="left" w:pos="-1080"/>
        </w:tabs>
        <w:rPr>
          <w:rFonts w:cs="Arial"/>
          <w:snapToGrid/>
          <w:szCs w:val="24"/>
          <w:lang w:val="es-419"/>
        </w:rPr>
      </w:pPr>
    </w:p>
    <w:p w14:paraId="5CB32B27" w14:textId="3CE4C2ED" w:rsidR="00DA397B" w:rsidRPr="0078598D" w:rsidRDefault="004A1D59" w:rsidP="00DA397B">
      <w:pPr>
        <w:tabs>
          <w:tab w:val="left" w:pos="-1080"/>
        </w:tabs>
        <w:rPr>
          <w:rFonts w:cs="Arial"/>
          <w:snapToGrid/>
          <w:szCs w:val="24"/>
          <w:lang w:val="es-419"/>
        </w:rPr>
      </w:pPr>
      <w:r w:rsidRPr="0078598D">
        <w:rPr>
          <w:lang w:val="es-419"/>
        </w:rPr>
        <w:t xml:space="preserve">Los exámenes en la sede del CDI </w:t>
      </w:r>
      <w:r w:rsidRPr="0078598D">
        <w:rPr>
          <w:snapToGrid/>
          <w:lang w:val="es-419"/>
        </w:rPr>
        <w:t>comienzan a las 8:30 a.m. hora del Pacífico (el registro es a las 8:00 a.m.) y a la 1:00 p.m. (el registro es a las 12:30 p.m.), de lunes a viernes,</w:t>
      </w:r>
      <w:r w:rsidRPr="0078598D">
        <w:rPr>
          <w:lang w:val="es-419"/>
        </w:rPr>
        <w:t xml:space="preserve"> excepto los días festivos estatales:</w:t>
      </w:r>
    </w:p>
    <w:p w14:paraId="608B71C0" w14:textId="4EB093EC" w:rsidR="0078598D" w:rsidRDefault="0078598D">
      <w:pPr>
        <w:widowControl/>
        <w:rPr>
          <w:rFonts w:cs="Arial"/>
          <w:szCs w:val="24"/>
          <w:lang w:val="es-419"/>
        </w:rPr>
      </w:pPr>
      <w:r>
        <w:rPr>
          <w:rFonts w:cs="Arial"/>
          <w:szCs w:val="24"/>
          <w:lang w:val="es-419"/>
        </w:rPr>
        <w:br w:type="page"/>
      </w:r>
    </w:p>
    <w:p w14:paraId="6727A577" w14:textId="77777777" w:rsidR="00DA397B" w:rsidRPr="0078598D" w:rsidRDefault="00DA397B" w:rsidP="00DA397B">
      <w:pPr>
        <w:tabs>
          <w:tab w:val="left" w:pos="-1080"/>
        </w:tabs>
        <w:rPr>
          <w:rFonts w:cs="Arial"/>
          <w:szCs w:val="24"/>
          <w:lang w:val="es-419"/>
        </w:rPr>
      </w:pPr>
    </w:p>
    <w:tbl>
      <w:tblPr>
        <w:tblW w:w="0" w:type="auto"/>
        <w:tblLayout w:type="fixed"/>
        <w:tblLook w:val="01E0" w:firstRow="1" w:lastRow="1" w:firstColumn="1" w:lastColumn="1" w:noHBand="0" w:noVBand="0"/>
      </w:tblPr>
      <w:tblGrid>
        <w:gridCol w:w="6480"/>
      </w:tblGrid>
      <w:tr w:rsidR="00717E3C" w:rsidRPr="0078598D" w14:paraId="381F9FF8" w14:textId="77777777" w:rsidTr="004D3DF5">
        <w:tc>
          <w:tcPr>
            <w:tcW w:w="6480" w:type="dxa"/>
          </w:tcPr>
          <w:p w14:paraId="6097B2E2" w14:textId="77777777" w:rsidR="00717E3C" w:rsidRPr="0078598D" w:rsidRDefault="004D3DF5">
            <w:pPr>
              <w:tabs>
                <w:tab w:val="left" w:pos="-1080"/>
              </w:tabs>
              <w:spacing w:before="60"/>
              <w:ind w:left="972" w:hanging="720"/>
              <w:rPr>
                <w:rFonts w:cs="Arial"/>
                <w:b/>
                <w:szCs w:val="24"/>
                <w:lang w:val="es-419"/>
              </w:rPr>
            </w:pPr>
            <w:r w:rsidRPr="0078598D">
              <w:rPr>
                <w:b/>
                <w:lang w:val="es-419"/>
              </w:rPr>
              <w:t>Centro de exámenes del CDI en Los Ángeles:</w:t>
            </w:r>
          </w:p>
          <w:p w14:paraId="36B663AA" w14:textId="77777777" w:rsidR="004D3DF5" w:rsidRPr="00AC09FA" w:rsidRDefault="004D3DF5">
            <w:pPr>
              <w:tabs>
                <w:tab w:val="left" w:pos="-1080"/>
              </w:tabs>
              <w:ind w:left="972" w:hanging="720"/>
              <w:rPr>
                <w:rFonts w:cs="Arial"/>
                <w:szCs w:val="24"/>
                <w:lang w:val="en-GB"/>
              </w:rPr>
            </w:pPr>
            <w:r w:rsidRPr="00AC09FA">
              <w:rPr>
                <w:lang w:val="en-GB"/>
              </w:rPr>
              <w:t>Ronald Reagan Building</w:t>
            </w:r>
          </w:p>
          <w:p w14:paraId="0E1A4940" w14:textId="77777777" w:rsidR="004D3DF5" w:rsidRPr="00AC09FA" w:rsidRDefault="004D3DF5" w:rsidP="0069760C">
            <w:pPr>
              <w:tabs>
                <w:tab w:val="left" w:pos="-1080"/>
              </w:tabs>
              <w:ind w:left="234" w:firstLine="18"/>
              <w:rPr>
                <w:rFonts w:cs="Arial"/>
                <w:snapToGrid/>
                <w:szCs w:val="24"/>
                <w:lang w:val="en-GB"/>
              </w:rPr>
            </w:pPr>
            <w:r w:rsidRPr="00AC09FA">
              <w:rPr>
                <w:snapToGrid/>
                <w:lang w:val="en-GB"/>
              </w:rPr>
              <w:t>300 South Spring Street</w:t>
            </w:r>
          </w:p>
          <w:p w14:paraId="2178E395" w14:textId="77777777" w:rsidR="00717E3C" w:rsidRPr="0078598D" w:rsidRDefault="00717E3C" w:rsidP="0069760C">
            <w:pPr>
              <w:tabs>
                <w:tab w:val="left" w:pos="-1080"/>
              </w:tabs>
              <w:ind w:left="234" w:firstLine="18"/>
              <w:rPr>
                <w:rFonts w:cs="Arial"/>
                <w:snapToGrid/>
                <w:szCs w:val="24"/>
                <w:lang w:val="es-419"/>
              </w:rPr>
            </w:pPr>
            <w:r w:rsidRPr="0078598D">
              <w:rPr>
                <w:snapToGrid/>
                <w:lang w:val="es-419"/>
              </w:rPr>
              <w:t>North Tower, Suite 1000</w:t>
            </w:r>
          </w:p>
          <w:p w14:paraId="13B594F1" w14:textId="2F16D517" w:rsidR="00717E3C" w:rsidRPr="0078598D" w:rsidRDefault="00717E3C" w:rsidP="0078598D">
            <w:pPr>
              <w:tabs>
                <w:tab w:val="left" w:pos="-1080"/>
              </w:tabs>
              <w:ind w:left="972" w:hanging="720"/>
              <w:rPr>
                <w:rFonts w:cs="Arial"/>
                <w:szCs w:val="24"/>
                <w:lang w:val="es-419"/>
              </w:rPr>
            </w:pPr>
            <w:r w:rsidRPr="0078598D">
              <w:rPr>
                <w:snapToGrid/>
                <w:lang w:val="es-419"/>
              </w:rPr>
              <w:t>Los Ángeles, California 90013</w:t>
            </w:r>
          </w:p>
        </w:tc>
      </w:tr>
    </w:tbl>
    <w:p w14:paraId="3048AC56" w14:textId="77777777" w:rsidR="00B83B24" w:rsidRPr="0078598D" w:rsidRDefault="00B83B24" w:rsidP="008172F7">
      <w:pPr>
        <w:widowControl/>
        <w:spacing w:line="300" w:lineRule="atLeast"/>
        <w:rPr>
          <w:rFonts w:cs="Arial"/>
          <w:snapToGrid/>
          <w:szCs w:val="24"/>
          <w:lang w:val="es-419"/>
        </w:rPr>
      </w:pPr>
    </w:p>
    <w:p w14:paraId="6F081E67" w14:textId="19F9A8C7" w:rsidR="00B83B24" w:rsidRPr="0078598D" w:rsidRDefault="00B83B24" w:rsidP="00777923">
      <w:pPr>
        <w:widowControl/>
        <w:rPr>
          <w:rFonts w:cs="Arial"/>
          <w:szCs w:val="24"/>
          <w:lang w:val="es-419"/>
        </w:rPr>
      </w:pPr>
      <w:r w:rsidRPr="0078598D">
        <w:rPr>
          <w:lang w:val="es-419"/>
        </w:rPr>
        <w:t>Los centros de prueba</w:t>
      </w:r>
      <w:r w:rsidR="00AC09FA">
        <w:rPr>
          <w:lang w:val="es-419"/>
        </w:rPr>
        <w:t>s</w:t>
      </w:r>
      <w:r w:rsidRPr="0078598D">
        <w:rPr>
          <w:lang w:val="es-419"/>
        </w:rPr>
        <w:t xml:space="preserve"> de PSI se encuentran en las siguientes ubicaciones:</w:t>
      </w:r>
    </w:p>
    <w:p w14:paraId="25835A58" w14:textId="77777777" w:rsidR="00B83B24" w:rsidRPr="0078598D" w:rsidRDefault="00B83B24" w:rsidP="00B83B24">
      <w:pPr>
        <w:rPr>
          <w:rFonts w:cs="Arial"/>
          <w:szCs w:val="24"/>
          <w:lang w:val="es-419"/>
        </w:rPr>
      </w:pPr>
    </w:p>
    <w:tbl>
      <w:tblPr>
        <w:tblW w:w="0" w:type="auto"/>
        <w:tblLook w:val="04A0" w:firstRow="1" w:lastRow="0" w:firstColumn="1" w:lastColumn="0" w:noHBand="0" w:noVBand="1"/>
      </w:tblPr>
      <w:tblGrid>
        <w:gridCol w:w="2562"/>
        <w:gridCol w:w="2553"/>
        <w:gridCol w:w="2564"/>
        <w:gridCol w:w="2545"/>
      </w:tblGrid>
      <w:tr w:rsidR="00EE0AC7" w:rsidRPr="0078598D" w14:paraId="7A51230B" w14:textId="77777777" w:rsidTr="00D66AF8">
        <w:tc>
          <w:tcPr>
            <w:tcW w:w="2562" w:type="dxa"/>
            <w:shd w:val="clear" w:color="auto" w:fill="auto"/>
          </w:tcPr>
          <w:p w14:paraId="3B2D9E70" w14:textId="77777777" w:rsidR="001359C6" w:rsidRPr="0078598D" w:rsidRDefault="009C3E42" w:rsidP="00EF68D3">
            <w:pPr>
              <w:rPr>
                <w:rFonts w:cs="Arial"/>
                <w:szCs w:val="24"/>
                <w:lang w:val="es-419"/>
              </w:rPr>
            </w:pPr>
            <w:proofErr w:type="spellStart"/>
            <w:r w:rsidRPr="0078598D">
              <w:rPr>
                <w:lang w:val="es-419"/>
              </w:rPr>
              <w:t>Agoura</w:t>
            </w:r>
            <w:proofErr w:type="spellEnd"/>
            <w:r w:rsidRPr="0078598D">
              <w:rPr>
                <w:lang w:val="es-419"/>
              </w:rPr>
              <w:t xml:space="preserve"> </w:t>
            </w:r>
            <w:proofErr w:type="spellStart"/>
            <w:r w:rsidRPr="0078598D">
              <w:rPr>
                <w:lang w:val="es-419"/>
              </w:rPr>
              <w:t>Hills</w:t>
            </w:r>
            <w:proofErr w:type="spellEnd"/>
          </w:p>
        </w:tc>
        <w:tc>
          <w:tcPr>
            <w:tcW w:w="2553" w:type="dxa"/>
            <w:shd w:val="clear" w:color="auto" w:fill="auto"/>
          </w:tcPr>
          <w:p w14:paraId="6023F891" w14:textId="77777777" w:rsidR="001359C6" w:rsidRPr="0078598D" w:rsidRDefault="00336E3E" w:rsidP="00EF68D3">
            <w:pPr>
              <w:rPr>
                <w:rFonts w:cs="Arial"/>
                <w:szCs w:val="24"/>
                <w:lang w:val="es-419"/>
              </w:rPr>
            </w:pPr>
            <w:r w:rsidRPr="0078598D">
              <w:rPr>
                <w:lang w:val="es-419"/>
              </w:rPr>
              <w:t>El Monte</w:t>
            </w:r>
          </w:p>
        </w:tc>
        <w:tc>
          <w:tcPr>
            <w:tcW w:w="2564" w:type="dxa"/>
            <w:shd w:val="clear" w:color="auto" w:fill="auto"/>
          </w:tcPr>
          <w:p w14:paraId="5F03B042" w14:textId="77777777" w:rsidR="001359C6" w:rsidRPr="0078598D" w:rsidRDefault="00336E3E" w:rsidP="00EF68D3">
            <w:pPr>
              <w:rPr>
                <w:rFonts w:cs="Arial"/>
                <w:szCs w:val="24"/>
                <w:lang w:val="es-419"/>
              </w:rPr>
            </w:pPr>
            <w:r w:rsidRPr="0078598D">
              <w:rPr>
                <w:lang w:val="es-419"/>
              </w:rPr>
              <w:t>Riverside</w:t>
            </w:r>
          </w:p>
        </w:tc>
        <w:tc>
          <w:tcPr>
            <w:tcW w:w="2545" w:type="dxa"/>
            <w:shd w:val="clear" w:color="auto" w:fill="auto"/>
          </w:tcPr>
          <w:p w14:paraId="2B8DCF29" w14:textId="77777777" w:rsidR="001359C6" w:rsidRPr="0078598D" w:rsidRDefault="00763FE7" w:rsidP="00EF68D3">
            <w:pPr>
              <w:rPr>
                <w:rFonts w:cs="Arial"/>
                <w:szCs w:val="24"/>
                <w:lang w:val="es-419"/>
              </w:rPr>
            </w:pPr>
            <w:r w:rsidRPr="0078598D">
              <w:rPr>
                <w:lang w:val="es-419"/>
              </w:rPr>
              <w:t>Santa Rosa</w:t>
            </w:r>
          </w:p>
        </w:tc>
      </w:tr>
      <w:tr w:rsidR="00EE0AC7" w:rsidRPr="0078598D" w14:paraId="5D2276DE" w14:textId="77777777" w:rsidTr="00D66AF8">
        <w:tc>
          <w:tcPr>
            <w:tcW w:w="2562" w:type="dxa"/>
            <w:shd w:val="clear" w:color="auto" w:fill="auto"/>
          </w:tcPr>
          <w:p w14:paraId="15BA6452" w14:textId="77777777" w:rsidR="001359C6" w:rsidRPr="0078598D" w:rsidRDefault="001359C6" w:rsidP="00EF68D3">
            <w:pPr>
              <w:rPr>
                <w:rFonts w:cs="Arial"/>
                <w:szCs w:val="24"/>
                <w:lang w:val="es-419"/>
              </w:rPr>
            </w:pPr>
            <w:r w:rsidRPr="0078598D">
              <w:rPr>
                <w:lang w:val="es-419"/>
              </w:rPr>
              <w:t>Atascadero</w:t>
            </w:r>
          </w:p>
        </w:tc>
        <w:tc>
          <w:tcPr>
            <w:tcW w:w="2553" w:type="dxa"/>
            <w:shd w:val="clear" w:color="auto" w:fill="auto"/>
          </w:tcPr>
          <w:p w14:paraId="2AA75311" w14:textId="77777777" w:rsidR="001359C6" w:rsidRPr="0078598D" w:rsidRDefault="00336E3E" w:rsidP="00EF68D3">
            <w:pPr>
              <w:rPr>
                <w:rFonts w:cs="Arial"/>
                <w:szCs w:val="24"/>
                <w:lang w:val="es-419"/>
              </w:rPr>
            </w:pPr>
            <w:r w:rsidRPr="0078598D">
              <w:rPr>
                <w:lang w:val="es-419"/>
              </w:rPr>
              <w:t>Fresno</w:t>
            </w:r>
          </w:p>
        </w:tc>
        <w:tc>
          <w:tcPr>
            <w:tcW w:w="2564" w:type="dxa"/>
            <w:shd w:val="clear" w:color="auto" w:fill="auto"/>
          </w:tcPr>
          <w:p w14:paraId="702A6C45" w14:textId="77777777" w:rsidR="001359C6" w:rsidRPr="0078598D" w:rsidRDefault="00D66AF8" w:rsidP="00EF68D3">
            <w:pPr>
              <w:rPr>
                <w:rFonts w:cs="Arial"/>
                <w:szCs w:val="24"/>
                <w:lang w:val="es-419"/>
              </w:rPr>
            </w:pPr>
            <w:r w:rsidRPr="0078598D">
              <w:rPr>
                <w:lang w:val="es-419"/>
              </w:rPr>
              <w:t>Sacramento</w:t>
            </w:r>
          </w:p>
        </w:tc>
        <w:tc>
          <w:tcPr>
            <w:tcW w:w="2545" w:type="dxa"/>
            <w:shd w:val="clear" w:color="auto" w:fill="auto"/>
          </w:tcPr>
          <w:p w14:paraId="26887CA4" w14:textId="77777777" w:rsidR="001359C6" w:rsidRPr="0078598D" w:rsidRDefault="002D1651" w:rsidP="00EF68D3">
            <w:pPr>
              <w:rPr>
                <w:rFonts w:cs="Arial"/>
                <w:szCs w:val="24"/>
                <w:lang w:val="es-419"/>
              </w:rPr>
            </w:pPr>
            <w:proofErr w:type="spellStart"/>
            <w:r w:rsidRPr="0078598D">
              <w:rPr>
                <w:lang w:val="es-419"/>
              </w:rPr>
              <w:t>Union</w:t>
            </w:r>
            <w:proofErr w:type="spellEnd"/>
            <w:r w:rsidRPr="0078598D">
              <w:rPr>
                <w:lang w:val="es-419"/>
              </w:rPr>
              <w:t xml:space="preserve"> City</w:t>
            </w:r>
          </w:p>
        </w:tc>
      </w:tr>
      <w:tr w:rsidR="00EE0AC7" w:rsidRPr="0078598D" w14:paraId="7B9BCDFB" w14:textId="77777777" w:rsidTr="00D66AF8">
        <w:tc>
          <w:tcPr>
            <w:tcW w:w="2562" w:type="dxa"/>
            <w:shd w:val="clear" w:color="auto" w:fill="auto"/>
          </w:tcPr>
          <w:p w14:paraId="0E3713F2" w14:textId="77777777" w:rsidR="001359C6" w:rsidRPr="0078598D" w:rsidRDefault="001359C6" w:rsidP="00EF68D3">
            <w:pPr>
              <w:rPr>
                <w:rFonts w:cs="Arial"/>
                <w:szCs w:val="24"/>
                <w:lang w:val="es-419"/>
              </w:rPr>
            </w:pPr>
            <w:r w:rsidRPr="0078598D">
              <w:rPr>
                <w:lang w:val="es-419"/>
              </w:rPr>
              <w:t>Bakersfield</w:t>
            </w:r>
          </w:p>
        </w:tc>
        <w:tc>
          <w:tcPr>
            <w:tcW w:w="2553" w:type="dxa"/>
            <w:shd w:val="clear" w:color="auto" w:fill="auto"/>
          </w:tcPr>
          <w:p w14:paraId="7204D09A" w14:textId="77777777" w:rsidR="001359C6" w:rsidRPr="0078598D" w:rsidRDefault="002D1651" w:rsidP="00EF68D3">
            <w:pPr>
              <w:rPr>
                <w:rFonts w:cs="Arial"/>
                <w:szCs w:val="24"/>
                <w:lang w:val="es-419"/>
              </w:rPr>
            </w:pPr>
            <w:proofErr w:type="spellStart"/>
            <w:r w:rsidRPr="0078598D">
              <w:rPr>
                <w:lang w:val="es-419"/>
              </w:rPr>
              <w:t>Lawndale</w:t>
            </w:r>
            <w:proofErr w:type="spellEnd"/>
          </w:p>
        </w:tc>
        <w:tc>
          <w:tcPr>
            <w:tcW w:w="2564" w:type="dxa"/>
            <w:shd w:val="clear" w:color="auto" w:fill="auto"/>
          </w:tcPr>
          <w:p w14:paraId="3DC38BCC" w14:textId="77777777" w:rsidR="001359C6" w:rsidRPr="0078598D" w:rsidRDefault="00D66AF8" w:rsidP="00EF68D3">
            <w:pPr>
              <w:rPr>
                <w:rFonts w:cs="Arial"/>
                <w:szCs w:val="24"/>
                <w:lang w:val="es-419"/>
              </w:rPr>
            </w:pPr>
            <w:r w:rsidRPr="0078598D">
              <w:rPr>
                <w:lang w:val="es-419"/>
              </w:rPr>
              <w:t>San Diego</w:t>
            </w:r>
          </w:p>
        </w:tc>
        <w:tc>
          <w:tcPr>
            <w:tcW w:w="2545" w:type="dxa"/>
            <w:shd w:val="clear" w:color="auto" w:fill="auto"/>
          </w:tcPr>
          <w:p w14:paraId="11D6E1A9" w14:textId="77777777" w:rsidR="001359C6" w:rsidRPr="0078598D" w:rsidRDefault="00763FE7" w:rsidP="00EF68D3">
            <w:pPr>
              <w:rPr>
                <w:rFonts w:cs="Arial"/>
                <w:szCs w:val="24"/>
                <w:lang w:val="es-419"/>
              </w:rPr>
            </w:pPr>
            <w:r w:rsidRPr="0078598D">
              <w:rPr>
                <w:lang w:val="es-419"/>
              </w:rPr>
              <w:t>Ventura</w:t>
            </w:r>
          </w:p>
        </w:tc>
      </w:tr>
      <w:tr w:rsidR="00EE0AC7" w:rsidRPr="0078598D" w14:paraId="38DF8213" w14:textId="77777777" w:rsidTr="00D66AF8">
        <w:tc>
          <w:tcPr>
            <w:tcW w:w="2562" w:type="dxa"/>
            <w:shd w:val="clear" w:color="auto" w:fill="auto"/>
          </w:tcPr>
          <w:p w14:paraId="083FD148" w14:textId="57CF0B95" w:rsidR="001359C6" w:rsidRPr="0078598D" w:rsidRDefault="00763FE7" w:rsidP="0078598D">
            <w:pPr>
              <w:rPr>
                <w:rFonts w:cs="Arial"/>
                <w:szCs w:val="24"/>
                <w:lang w:val="es-419"/>
              </w:rPr>
            </w:pPr>
            <w:r w:rsidRPr="0078598D">
              <w:rPr>
                <w:lang w:val="es-419"/>
              </w:rPr>
              <w:t>Carson</w:t>
            </w:r>
          </w:p>
        </w:tc>
        <w:tc>
          <w:tcPr>
            <w:tcW w:w="2553" w:type="dxa"/>
            <w:shd w:val="clear" w:color="auto" w:fill="auto"/>
          </w:tcPr>
          <w:p w14:paraId="76C5ED75" w14:textId="32082FC0" w:rsidR="001359C6" w:rsidRPr="0078598D" w:rsidRDefault="00336E3E" w:rsidP="00D66AF8">
            <w:pPr>
              <w:rPr>
                <w:rFonts w:cs="Arial"/>
                <w:szCs w:val="24"/>
                <w:lang w:val="es-419"/>
              </w:rPr>
            </w:pPr>
            <w:r w:rsidRPr="0078598D">
              <w:rPr>
                <w:lang w:val="es-419"/>
              </w:rPr>
              <w:t>Irvine</w:t>
            </w:r>
          </w:p>
        </w:tc>
        <w:tc>
          <w:tcPr>
            <w:tcW w:w="2564" w:type="dxa"/>
            <w:shd w:val="clear" w:color="auto" w:fill="auto"/>
          </w:tcPr>
          <w:p w14:paraId="329B8565" w14:textId="071F4905" w:rsidR="001359C6" w:rsidRPr="0078598D" w:rsidRDefault="00D66AF8" w:rsidP="00EF68D3">
            <w:pPr>
              <w:rPr>
                <w:rFonts w:cs="Arial"/>
                <w:szCs w:val="24"/>
                <w:lang w:val="es-419"/>
              </w:rPr>
            </w:pPr>
            <w:r w:rsidRPr="0078598D">
              <w:rPr>
                <w:lang w:val="es-419"/>
              </w:rPr>
              <w:t>San Francisco</w:t>
            </w:r>
          </w:p>
        </w:tc>
        <w:tc>
          <w:tcPr>
            <w:tcW w:w="2545" w:type="dxa"/>
            <w:shd w:val="clear" w:color="auto" w:fill="auto"/>
          </w:tcPr>
          <w:p w14:paraId="626ADE50" w14:textId="1531AA8B" w:rsidR="001359C6" w:rsidRPr="0078598D" w:rsidRDefault="00763FE7" w:rsidP="00D66AF8">
            <w:pPr>
              <w:rPr>
                <w:rFonts w:cs="Arial"/>
                <w:szCs w:val="24"/>
                <w:lang w:val="es-419"/>
              </w:rPr>
            </w:pPr>
            <w:r w:rsidRPr="0078598D">
              <w:rPr>
                <w:lang w:val="es-419"/>
              </w:rPr>
              <w:t>Visalia</w:t>
            </w:r>
          </w:p>
        </w:tc>
      </w:tr>
      <w:tr w:rsidR="00EE0AC7" w:rsidRPr="0078598D" w14:paraId="101B1730" w14:textId="77777777" w:rsidTr="00D66AF8">
        <w:tc>
          <w:tcPr>
            <w:tcW w:w="2562" w:type="dxa"/>
            <w:shd w:val="clear" w:color="auto" w:fill="auto"/>
          </w:tcPr>
          <w:p w14:paraId="718DD2AA" w14:textId="5B975E2B" w:rsidR="001359C6" w:rsidRPr="0078598D" w:rsidRDefault="0078598D" w:rsidP="00EF68D3">
            <w:pPr>
              <w:rPr>
                <w:rFonts w:cs="Arial"/>
                <w:szCs w:val="24"/>
                <w:lang w:val="es-419"/>
              </w:rPr>
            </w:pPr>
            <w:proofErr w:type="spellStart"/>
            <w:r w:rsidRPr="0078598D">
              <w:rPr>
                <w:lang w:val="es-419"/>
              </w:rPr>
              <w:t>Diamond</w:t>
            </w:r>
            <w:proofErr w:type="spellEnd"/>
            <w:r w:rsidRPr="0078598D">
              <w:rPr>
                <w:lang w:val="es-419"/>
              </w:rPr>
              <w:t xml:space="preserve"> Bar</w:t>
            </w:r>
          </w:p>
        </w:tc>
        <w:tc>
          <w:tcPr>
            <w:tcW w:w="2553" w:type="dxa"/>
            <w:shd w:val="clear" w:color="auto" w:fill="auto"/>
          </w:tcPr>
          <w:p w14:paraId="68D7B3B3" w14:textId="12123752" w:rsidR="001359C6" w:rsidRPr="0078598D" w:rsidRDefault="0078598D" w:rsidP="00EF68D3">
            <w:pPr>
              <w:rPr>
                <w:rFonts w:cs="Arial"/>
                <w:szCs w:val="24"/>
                <w:lang w:val="es-419"/>
              </w:rPr>
            </w:pPr>
            <w:r w:rsidRPr="0078598D">
              <w:rPr>
                <w:lang w:val="es-419"/>
              </w:rPr>
              <w:t>Redding</w:t>
            </w:r>
          </w:p>
        </w:tc>
        <w:tc>
          <w:tcPr>
            <w:tcW w:w="2564" w:type="dxa"/>
            <w:shd w:val="clear" w:color="auto" w:fill="auto"/>
          </w:tcPr>
          <w:p w14:paraId="3615C241" w14:textId="723D1868" w:rsidR="001359C6" w:rsidRPr="0078598D" w:rsidRDefault="0078598D" w:rsidP="00EF68D3">
            <w:pPr>
              <w:rPr>
                <w:rFonts w:cs="Arial"/>
                <w:szCs w:val="24"/>
                <w:lang w:val="es-419"/>
              </w:rPr>
            </w:pPr>
            <w:r w:rsidRPr="0078598D">
              <w:rPr>
                <w:lang w:val="es-419"/>
              </w:rPr>
              <w:t>Santa Clara</w:t>
            </w:r>
          </w:p>
        </w:tc>
        <w:tc>
          <w:tcPr>
            <w:tcW w:w="2545" w:type="dxa"/>
            <w:shd w:val="clear" w:color="auto" w:fill="auto"/>
          </w:tcPr>
          <w:p w14:paraId="7BCA047D" w14:textId="1E907E36" w:rsidR="001359C6" w:rsidRPr="0078598D" w:rsidRDefault="0078598D" w:rsidP="00EF68D3">
            <w:pPr>
              <w:rPr>
                <w:rFonts w:cs="Arial"/>
                <w:szCs w:val="24"/>
                <w:lang w:val="es-419"/>
              </w:rPr>
            </w:pPr>
            <w:proofErr w:type="spellStart"/>
            <w:r w:rsidRPr="0078598D">
              <w:rPr>
                <w:lang w:val="es-419"/>
              </w:rPr>
              <w:t>Walnut</w:t>
            </w:r>
            <w:proofErr w:type="spellEnd"/>
            <w:r w:rsidRPr="0078598D">
              <w:rPr>
                <w:lang w:val="es-419"/>
              </w:rPr>
              <w:t xml:space="preserve"> Creek</w:t>
            </w:r>
          </w:p>
        </w:tc>
      </w:tr>
    </w:tbl>
    <w:p w14:paraId="7A5555F0" w14:textId="2D6849D3" w:rsidR="00133DD2" w:rsidRPr="0078598D" w:rsidRDefault="00460A01" w:rsidP="00545810">
      <w:pPr>
        <w:rPr>
          <w:rFonts w:cs="Arial"/>
          <w:szCs w:val="24"/>
          <w:lang w:val="es-419"/>
        </w:rPr>
      </w:pPr>
      <w:r w:rsidRPr="0078598D">
        <w:rPr>
          <w:lang w:val="es-419"/>
        </w:rPr>
        <w:t xml:space="preserve">Exámenes supervisados remotos por Internet para la obtención de licencias </w:t>
      </w:r>
    </w:p>
    <w:p w14:paraId="11487A49" w14:textId="77777777" w:rsidR="00460A01" w:rsidRPr="0078598D" w:rsidRDefault="00460A01" w:rsidP="00545810">
      <w:pPr>
        <w:rPr>
          <w:rFonts w:cs="Arial"/>
          <w:szCs w:val="24"/>
          <w:lang w:val="es-419"/>
        </w:rPr>
      </w:pPr>
    </w:p>
    <w:p w14:paraId="36CEDFA9" w14:textId="77777777" w:rsidR="00133DD2" w:rsidRPr="0078598D" w:rsidRDefault="00133DD2" w:rsidP="00133DD2">
      <w:pPr>
        <w:pStyle w:val="BlockText"/>
        <w:widowControl/>
        <w:tabs>
          <w:tab w:val="clear" w:pos="720"/>
          <w:tab w:val="left" w:pos="0"/>
        </w:tabs>
        <w:ind w:left="0"/>
        <w:jc w:val="left"/>
        <w:rPr>
          <w:rFonts w:cs="Arial"/>
          <w:i w:val="0"/>
          <w:szCs w:val="24"/>
          <w:lang w:val="es-419"/>
        </w:rPr>
      </w:pPr>
      <w:r w:rsidRPr="0078598D">
        <w:rPr>
          <w:i w:val="0"/>
          <w:lang w:val="es-419"/>
        </w:rPr>
        <w:t>Boletín informativo para el candidato</w:t>
      </w:r>
    </w:p>
    <w:p w14:paraId="39671975" w14:textId="77777777" w:rsidR="00133DD2" w:rsidRPr="0078598D" w:rsidRDefault="00133DD2" w:rsidP="00133DD2">
      <w:pPr>
        <w:pStyle w:val="BlockText"/>
        <w:widowControl/>
        <w:tabs>
          <w:tab w:val="clear" w:pos="720"/>
          <w:tab w:val="left" w:pos="0"/>
        </w:tabs>
        <w:ind w:left="0"/>
        <w:jc w:val="left"/>
        <w:rPr>
          <w:rFonts w:cs="Arial"/>
          <w:i w:val="0"/>
          <w:szCs w:val="24"/>
          <w:lang w:val="es-419"/>
        </w:rPr>
      </w:pPr>
    </w:p>
    <w:p w14:paraId="434866C9" w14:textId="6CACC6B5" w:rsidR="00133DD2" w:rsidRPr="0078598D" w:rsidRDefault="00133DD2" w:rsidP="00133DD2">
      <w:pPr>
        <w:pStyle w:val="BlockText"/>
        <w:widowControl/>
        <w:ind w:left="0"/>
        <w:jc w:val="left"/>
        <w:rPr>
          <w:rFonts w:cs="Arial"/>
          <w:i w:val="0"/>
          <w:iCs/>
          <w:szCs w:val="24"/>
          <w:lang w:val="es-419"/>
        </w:rPr>
      </w:pPr>
      <w:r w:rsidRPr="0078598D">
        <w:rPr>
          <w:i w:val="0"/>
          <w:lang w:val="es-419"/>
        </w:rPr>
        <w:t>El boletín informativo para el candidato contiene información detallada sobre la preparación para el examen, los requisitos de formación previos a la licencia, los procedimientos del centro del examen y las direcciones de los centros de pruebas del CDI en Los Ángeles y los centros de pruebas de PSI. Consulte el siguiente vínculo:</w:t>
      </w:r>
    </w:p>
    <w:p w14:paraId="4B9BF939" w14:textId="77777777" w:rsidR="00133DD2" w:rsidRPr="0078598D" w:rsidRDefault="00133DD2" w:rsidP="00133DD2">
      <w:pPr>
        <w:pStyle w:val="BlockText"/>
        <w:widowControl/>
        <w:ind w:left="0"/>
        <w:jc w:val="left"/>
        <w:rPr>
          <w:rFonts w:cs="Arial"/>
          <w:i w:val="0"/>
          <w:szCs w:val="24"/>
          <w:lang w:val="es-419"/>
        </w:rPr>
      </w:pPr>
    </w:p>
    <w:p w14:paraId="39B4CF22" w14:textId="77777777" w:rsidR="00133DD2" w:rsidRPr="0078598D" w:rsidRDefault="008F73FB" w:rsidP="00133DD2">
      <w:pPr>
        <w:pStyle w:val="BlockText"/>
        <w:widowControl/>
        <w:ind w:left="0"/>
        <w:jc w:val="left"/>
        <w:rPr>
          <w:rFonts w:cs="Arial"/>
          <w:szCs w:val="24"/>
          <w:lang w:val="es-419"/>
        </w:rPr>
      </w:pPr>
      <w:hyperlink r:id="rId8" w:history="1">
        <w:r w:rsidR="005134E1" w:rsidRPr="0078598D">
          <w:rPr>
            <w:rStyle w:val="Hyperlink"/>
            <w:i w:val="0"/>
            <w:color w:val="auto"/>
            <w:lang w:val="es-419"/>
          </w:rPr>
          <w:t>http://www.insurance.ca.gov/0200-industry/0020-apply-license/0100-indiv-resident/CandidateInformation.cfm</w:t>
        </w:r>
      </w:hyperlink>
    </w:p>
    <w:p w14:paraId="332DD79F" w14:textId="77777777" w:rsidR="00B83B24" w:rsidRPr="0078598D" w:rsidRDefault="00B83B24" w:rsidP="00B83B24">
      <w:pPr>
        <w:widowControl/>
        <w:spacing w:line="300" w:lineRule="atLeast"/>
        <w:rPr>
          <w:rFonts w:cs="Arial"/>
          <w:snapToGrid/>
          <w:szCs w:val="24"/>
          <w:lang w:val="es-419"/>
        </w:rPr>
      </w:pPr>
    </w:p>
    <w:p w14:paraId="00B5B187" w14:textId="05166647" w:rsidR="00B83B24" w:rsidRPr="0078598D" w:rsidRDefault="00B83B24" w:rsidP="00B83B24">
      <w:pPr>
        <w:rPr>
          <w:rFonts w:cs="Arial"/>
          <w:szCs w:val="24"/>
          <w:lang w:val="es-419"/>
        </w:rPr>
      </w:pPr>
      <w:r w:rsidRPr="0078598D">
        <w:rPr>
          <w:lang w:val="es-419"/>
        </w:rPr>
        <w:t xml:space="preserve">Para consultar información adicional acerca de los exámenes para la obtención de licencias (por ejemplo, horarios de los exámenes supervisados remotos por Internet, requisitos de huellas dactilares, admisión al examen, formas de identificación, consulta de la fecha programada del examen, consulta de resultados del examen), visite la página web del CDI sobre información del examen para obtener la licencia de seguros: </w:t>
      </w:r>
    </w:p>
    <w:p w14:paraId="55683573" w14:textId="77777777" w:rsidR="00133DD2" w:rsidRPr="0078598D" w:rsidRDefault="00133DD2" w:rsidP="00133DD2">
      <w:pPr>
        <w:rPr>
          <w:rFonts w:cs="Arial"/>
          <w:szCs w:val="24"/>
          <w:lang w:val="es-419"/>
        </w:rPr>
      </w:pPr>
    </w:p>
    <w:p w14:paraId="19D75978" w14:textId="77777777" w:rsidR="00133DD2" w:rsidRPr="0078598D" w:rsidRDefault="008F73FB" w:rsidP="00133DD2">
      <w:pPr>
        <w:rPr>
          <w:rFonts w:cs="Arial"/>
          <w:szCs w:val="24"/>
          <w:lang w:val="es-419"/>
        </w:rPr>
      </w:pPr>
      <w:hyperlink r:id="rId9" w:history="1">
        <w:r w:rsidR="005134E1" w:rsidRPr="0078598D">
          <w:rPr>
            <w:rStyle w:val="Hyperlink"/>
            <w:color w:val="auto"/>
            <w:lang w:val="es-419"/>
          </w:rPr>
          <w:t>http://www.insurance.ca.gov/0200-industry/0010-producer-online-services/0200-exam-info/index.cfm</w:t>
        </w:r>
      </w:hyperlink>
    </w:p>
    <w:p w14:paraId="260DF62F" w14:textId="77777777" w:rsidR="00F001DB" w:rsidRPr="0078598D" w:rsidRDefault="00F001DB"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cs="Arial"/>
          <w:szCs w:val="24"/>
          <w:lang w:val="es-419"/>
        </w:rPr>
      </w:pPr>
    </w:p>
    <w:p w14:paraId="00AA3821" w14:textId="77777777" w:rsidR="00F001DB" w:rsidRPr="0078598D" w:rsidRDefault="00F001DB"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cs="Arial"/>
          <w:szCs w:val="24"/>
          <w:lang w:val="es-419"/>
        </w:rPr>
      </w:pPr>
    </w:p>
    <w:p w14:paraId="1D37EF4E" w14:textId="77777777" w:rsidR="00F001DB" w:rsidRPr="0078598D" w:rsidRDefault="00F001DB"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cs="Arial"/>
          <w:szCs w:val="24"/>
          <w:lang w:val="es-419"/>
        </w:rPr>
      </w:pPr>
    </w:p>
    <w:p w14:paraId="05E4485A" w14:textId="77777777" w:rsidR="00F001DB" w:rsidRPr="0078598D" w:rsidRDefault="00F001DB"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cs="Arial"/>
          <w:szCs w:val="24"/>
          <w:lang w:val="es-419"/>
        </w:rPr>
      </w:pPr>
    </w:p>
    <w:p w14:paraId="21B8487A" w14:textId="77777777" w:rsidR="004D3DF5" w:rsidRPr="0078598D" w:rsidRDefault="004D3DF5">
      <w:pPr>
        <w:widowControl/>
        <w:rPr>
          <w:rFonts w:cs="Arial"/>
          <w:szCs w:val="24"/>
          <w:lang w:val="es-419"/>
        </w:rPr>
      </w:pPr>
      <w:r w:rsidRPr="0078598D">
        <w:rPr>
          <w:lang w:val="es-419"/>
        </w:rPr>
        <w:br w:type="page"/>
      </w:r>
    </w:p>
    <w:p w14:paraId="35C12CC0" w14:textId="77777777" w:rsidR="00D8337F" w:rsidRPr="0078598D" w:rsidRDefault="00D8337F"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cs="Arial"/>
          <w:szCs w:val="24"/>
          <w:lang w:val="es-419"/>
        </w:rPr>
      </w:pPr>
      <w:r w:rsidRPr="0078598D">
        <w:rPr>
          <w:lang w:val="es-419"/>
        </w:rPr>
        <w:lastRenderedPageBreak/>
        <w:t>Contenido</w:t>
      </w:r>
    </w:p>
    <w:p w14:paraId="4EDE9B54" w14:textId="77777777" w:rsidR="00936E8D" w:rsidRPr="0078598D" w:rsidRDefault="00936E8D" w:rsidP="00C4352A">
      <w:pPr>
        <w:tabs>
          <w:tab w:val="left" w:pos="720"/>
          <w:tab w:val="left" w:pos="8100"/>
        </w:tabs>
        <w:ind w:left="540" w:right="-90" w:hanging="540"/>
        <w:rPr>
          <w:rFonts w:cs="Arial"/>
          <w:szCs w:val="24"/>
          <w:lang w:val="es-419"/>
        </w:rPr>
      </w:pPr>
    </w:p>
    <w:p w14:paraId="4CF9B1F1" w14:textId="77777777" w:rsidR="00590984" w:rsidRPr="0078598D" w:rsidRDefault="00D8337F" w:rsidP="00C4352A">
      <w:pPr>
        <w:tabs>
          <w:tab w:val="left" w:pos="720"/>
          <w:tab w:val="left" w:pos="8100"/>
        </w:tabs>
        <w:ind w:left="540" w:right="-90" w:hanging="540"/>
        <w:rPr>
          <w:rFonts w:cs="Arial"/>
          <w:szCs w:val="24"/>
          <w:lang w:val="es-419"/>
        </w:rPr>
      </w:pPr>
      <w:r w:rsidRPr="0078598D">
        <w:rPr>
          <w:lang w:val="es-419"/>
        </w:rPr>
        <w:t xml:space="preserve">I. </w:t>
      </w:r>
      <w:r w:rsidRPr="0078598D">
        <w:rPr>
          <w:lang w:val="es-419"/>
        </w:rPr>
        <w:tab/>
        <w:t>Seguro general</w:t>
      </w:r>
    </w:p>
    <w:p w14:paraId="222C4EE2" w14:textId="77777777" w:rsidR="00D8337F" w:rsidRPr="0078598D" w:rsidRDefault="00D8337F" w:rsidP="00C4352A">
      <w:pPr>
        <w:tabs>
          <w:tab w:val="left" w:pos="720"/>
          <w:tab w:val="left" w:pos="8100"/>
        </w:tabs>
        <w:ind w:left="1080" w:right="-90" w:hanging="540"/>
        <w:rPr>
          <w:rFonts w:cs="Arial"/>
          <w:szCs w:val="24"/>
          <w:lang w:val="es-419"/>
        </w:rPr>
      </w:pPr>
      <w:r w:rsidRPr="0078598D">
        <w:rPr>
          <w:lang w:val="es-419"/>
        </w:rPr>
        <w:t>A.</w:t>
      </w:r>
      <w:r w:rsidRPr="0078598D">
        <w:rPr>
          <w:lang w:val="es-419"/>
        </w:rPr>
        <w:tab/>
        <w:t>Conceptos y principios básicos de los seguros</w:t>
      </w:r>
    </w:p>
    <w:p w14:paraId="18DAEFE6" w14:textId="77777777" w:rsidR="00936E8D" w:rsidRPr="0078598D" w:rsidRDefault="00936E8D" w:rsidP="00C4352A">
      <w:pPr>
        <w:tabs>
          <w:tab w:val="left" w:pos="720"/>
          <w:tab w:val="left" w:pos="8100"/>
        </w:tabs>
        <w:ind w:left="1080" w:right="-90" w:hanging="540"/>
        <w:rPr>
          <w:rFonts w:cs="Arial"/>
          <w:b/>
          <w:szCs w:val="24"/>
          <w:lang w:val="es-419"/>
        </w:rPr>
      </w:pPr>
    </w:p>
    <w:p w14:paraId="2231FC16" w14:textId="77777777" w:rsidR="00D8337F" w:rsidRPr="0078598D" w:rsidRDefault="00D8337F" w:rsidP="00C4352A">
      <w:pPr>
        <w:tabs>
          <w:tab w:val="left" w:pos="-1440"/>
        </w:tabs>
        <w:ind w:left="1080" w:hanging="540"/>
        <w:rPr>
          <w:rFonts w:cs="Arial"/>
          <w:szCs w:val="24"/>
          <w:lang w:val="es-419"/>
        </w:rPr>
      </w:pPr>
      <w:r w:rsidRPr="0078598D">
        <w:rPr>
          <w:lang w:val="es-419"/>
        </w:rPr>
        <w:t>B.</w:t>
      </w:r>
      <w:r w:rsidRPr="0078598D">
        <w:rPr>
          <w:lang w:val="es-419"/>
        </w:rPr>
        <w:tab/>
        <w:t>Derecho contractual</w:t>
      </w:r>
    </w:p>
    <w:p w14:paraId="72A08DF0" w14:textId="77777777" w:rsidR="00936E8D" w:rsidRPr="0078598D" w:rsidRDefault="00936E8D" w:rsidP="00C4352A">
      <w:pPr>
        <w:tabs>
          <w:tab w:val="left" w:pos="-1440"/>
        </w:tabs>
        <w:ind w:left="1080" w:hanging="540"/>
        <w:rPr>
          <w:rFonts w:cs="Arial"/>
          <w:szCs w:val="24"/>
          <w:lang w:val="es-419"/>
        </w:rPr>
      </w:pPr>
    </w:p>
    <w:p w14:paraId="14722800" w14:textId="77777777" w:rsidR="00D8337F" w:rsidRPr="0078598D" w:rsidRDefault="00D8337F" w:rsidP="00C4352A">
      <w:pPr>
        <w:tabs>
          <w:tab w:val="left" w:pos="-1440"/>
        </w:tabs>
        <w:ind w:left="1080" w:hanging="540"/>
        <w:rPr>
          <w:rFonts w:cs="Arial"/>
          <w:szCs w:val="24"/>
          <w:lang w:val="es-419"/>
        </w:rPr>
      </w:pPr>
      <w:r w:rsidRPr="0078598D">
        <w:rPr>
          <w:lang w:val="es-419"/>
        </w:rPr>
        <w:t>C.</w:t>
      </w:r>
      <w:r w:rsidRPr="0078598D">
        <w:rPr>
          <w:lang w:val="es-419"/>
        </w:rPr>
        <w:tab/>
        <w:t>El mercado de seguros</w:t>
      </w:r>
    </w:p>
    <w:p w14:paraId="7A754C8E" w14:textId="77777777" w:rsidR="00D8337F" w:rsidRPr="0078598D" w:rsidRDefault="00D8337F" w:rsidP="00C4352A">
      <w:pPr>
        <w:tabs>
          <w:tab w:val="left" w:pos="-1440"/>
        </w:tabs>
        <w:ind w:left="1620" w:hanging="540"/>
        <w:rPr>
          <w:rFonts w:cs="Arial"/>
          <w:szCs w:val="24"/>
          <w:lang w:val="es-419"/>
        </w:rPr>
      </w:pPr>
      <w:r w:rsidRPr="0078598D">
        <w:rPr>
          <w:lang w:val="es-419"/>
        </w:rPr>
        <w:t>1.</w:t>
      </w:r>
      <w:r w:rsidRPr="0078598D">
        <w:rPr>
          <w:lang w:val="es-419"/>
        </w:rPr>
        <w:tab/>
        <w:t>Sistemas de distribución</w:t>
      </w:r>
    </w:p>
    <w:p w14:paraId="0106EB83" w14:textId="692615F5" w:rsidR="00D8337F" w:rsidRPr="0078598D" w:rsidRDefault="00D8337F" w:rsidP="00C4352A">
      <w:pPr>
        <w:tabs>
          <w:tab w:val="left" w:pos="-1440"/>
        </w:tabs>
        <w:ind w:left="1620" w:hanging="540"/>
        <w:rPr>
          <w:rFonts w:cs="Arial"/>
          <w:szCs w:val="24"/>
          <w:lang w:val="es-419"/>
        </w:rPr>
      </w:pPr>
      <w:r w:rsidRPr="0078598D">
        <w:rPr>
          <w:lang w:val="es-419"/>
        </w:rPr>
        <w:t>2.</w:t>
      </w:r>
      <w:r w:rsidRPr="0078598D">
        <w:rPr>
          <w:lang w:val="es-419"/>
        </w:rPr>
        <w:tab/>
        <w:t>Asesores de seguros</w:t>
      </w:r>
    </w:p>
    <w:p w14:paraId="0185A0E3" w14:textId="77777777" w:rsidR="00D8337F" w:rsidRPr="0078598D" w:rsidRDefault="00D8337F" w:rsidP="00C4352A">
      <w:pPr>
        <w:tabs>
          <w:tab w:val="left" w:pos="-1440"/>
        </w:tabs>
        <w:ind w:left="1620" w:hanging="540"/>
        <w:rPr>
          <w:rFonts w:cs="Arial"/>
          <w:szCs w:val="24"/>
          <w:lang w:val="es-419"/>
        </w:rPr>
      </w:pPr>
      <w:r w:rsidRPr="0078598D">
        <w:rPr>
          <w:lang w:val="es-419"/>
        </w:rPr>
        <w:t>3.</w:t>
      </w:r>
      <w:r w:rsidRPr="0078598D">
        <w:rPr>
          <w:lang w:val="es-419"/>
        </w:rPr>
        <w:tab/>
        <w:t>Aseguradoras</w:t>
      </w:r>
    </w:p>
    <w:p w14:paraId="7E79E2F4" w14:textId="77777777" w:rsidR="00D8337F" w:rsidRPr="0078598D" w:rsidRDefault="00D8337F" w:rsidP="00C4352A">
      <w:pPr>
        <w:tabs>
          <w:tab w:val="left" w:pos="-1440"/>
        </w:tabs>
        <w:ind w:left="1620" w:hanging="540"/>
        <w:rPr>
          <w:rFonts w:cs="Arial"/>
          <w:szCs w:val="24"/>
          <w:lang w:val="es-419"/>
        </w:rPr>
      </w:pPr>
      <w:r w:rsidRPr="0078598D">
        <w:rPr>
          <w:lang w:val="es-419"/>
        </w:rPr>
        <w:t>4.</w:t>
      </w:r>
      <w:r w:rsidRPr="0078598D">
        <w:rPr>
          <w:lang w:val="es-419"/>
        </w:rPr>
        <w:tab/>
        <w:t>Regulación del mercado: generalidades</w:t>
      </w:r>
    </w:p>
    <w:p w14:paraId="2504A2B6" w14:textId="792EBF93" w:rsidR="00D8337F" w:rsidRPr="0078598D" w:rsidRDefault="00D8337F" w:rsidP="00C4352A">
      <w:pPr>
        <w:tabs>
          <w:tab w:val="left" w:pos="-1440"/>
        </w:tabs>
        <w:ind w:left="1620" w:hanging="540"/>
        <w:rPr>
          <w:rFonts w:cs="Arial"/>
          <w:szCs w:val="24"/>
          <w:lang w:val="es-419"/>
        </w:rPr>
      </w:pPr>
      <w:r w:rsidRPr="0078598D">
        <w:rPr>
          <w:lang w:val="es-419"/>
        </w:rPr>
        <w:t xml:space="preserve">5. </w:t>
      </w:r>
      <w:r w:rsidRPr="0078598D">
        <w:rPr>
          <w:lang w:val="es-419"/>
        </w:rPr>
        <w:tab/>
        <w:t>Regulaciones de las prácticas de liquidación de reclamaciones justas</w:t>
      </w:r>
    </w:p>
    <w:p w14:paraId="11785DF2" w14:textId="51B8C3FC" w:rsidR="009F0BF2" w:rsidRPr="0078598D" w:rsidRDefault="009F0BF2" w:rsidP="009F0BF2">
      <w:pPr>
        <w:tabs>
          <w:tab w:val="left" w:pos="-1440"/>
        </w:tabs>
        <w:rPr>
          <w:rFonts w:cs="Arial"/>
          <w:szCs w:val="24"/>
          <w:lang w:val="es-419"/>
        </w:rPr>
      </w:pPr>
    </w:p>
    <w:p w14:paraId="11BD4A25" w14:textId="752559ED" w:rsidR="009F0BF2" w:rsidRPr="0078598D" w:rsidRDefault="009F0BF2" w:rsidP="009F0BF2">
      <w:pPr>
        <w:pStyle w:val="ListParagraph"/>
        <w:widowControl/>
        <w:numPr>
          <w:ilvl w:val="0"/>
          <w:numId w:val="23"/>
        </w:numPr>
        <w:tabs>
          <w:tab w:val="left" w:pos="-1080"/>
          <w:tab w:val="left" w:pos="-720"/>
          <w:tab w:val="left" w:pos="2160"/>
          <w:tab w:val="left" w:pos="2880"/>
          <w:tab w:val="left" w:pos="4092"/>
        </w:tabs>
        <w:ind w:left="1080" w:hanging="540"/>
        <w:rPr>
          <w:rFonts w:cs="Arial"/>
          <w:szCs w:val="24"/>
          <w:lang w:val="es-419"/>
        </w:rPr>
      </w:pPr>
      <w:r w:rsidRPr="0078598D">
        <w:rPr>
          <w:lang w:val="es-419"/>
        </w:rPr>
        <w:t>Capacitación obligatoria de una hora sobre el fraude, a cargo de la División</w:t>
      </w:r>
      <w:r w:rsidR="002A036E">
        <w:rPr>
          <w:lang w:val="es-419"/>
        </w:rPr>
        <w:br/>
      </w:r>
      <w:r w:rsidRPr="0078598D">
        <w:rPr>
          <w:lang w:val="es-419"/>
        </w:rPr>
        <w:t>contra el Fraude de la Rama de Cumplimiento del CDI</w:t>
      </w:r>
    </w:p>
    <w:p w14:paraId="25D2274A" w14:textId="77777777" w:rsidR="009F0BF2" w:rsidRPr="0078598D" w:rsidRDefault="009F0BF2" w:rsidP="009F0BF2">
      <w:pPr>
        <w:widowControl/>
        <w:tabs>
          <w:tab w:val="left" w:pos="-1080"/>
          <w:tab w:val="left" w:pos="-720"/>
          <w:tab w:val="left" w:pos="540"/>
          <w:tab w:val="left" w:pos="2880"/>
          <w:tab w:val="left" w:pos="4092"/>
        </w:tabs>
        <w:ind w:left="1620" w:hanging="540"/>
        <w:rPr>
          <w:rFonts w:cs="Arial"/>
          <w:szCs w:val="24"/>
          <w:lang w:val="es-419"/>
        </w:rPr>
      </w:pPr>
      <w:r w:rsidRPr="0078598D">
        <w:rPr>
          <w:lang w:val="es-419"/>
        </w:rPr>
        <w:t>1.</w:t>
      </w:r>
      <w:r w:rsidRPr="0078598D">
        <w:rPr>
          <w:lang w:val="es-419"/>
        </w:rPr>
        <w:tab/>
        <w:t xml:space="preserve"> Sospecha de fraude al seguro</w:t>
      </w:r>
    </w:p>
    <w:p w14:paraId="0A39FE0E" w14:textId="77777777" w:rsidR="009F0BF2" w:rsidRPr="0078598D" w:rsidRDefault="009F0BF2" w:rsidP="009F0BF2">
      <w:pPr>
        <w:tabs>
          <w:tab w:val="left" w:pos="-1440"/>
        </w:tabs>
        <w:ind w:left="1080" w:hanging="540"/>
        <w:rPr>
          <w:rFonts w:cs="Arial"/>
          <w:szCs w:val="24"/>
          <w:lang w:val="es-419"/>
        </w:rPr>
      </w:pPr>
    </w:p>
    <w:p w14:paraId="384387CB" w14:textId="77777777" w:rsidR="009F0BF2" w:rsidRPr="0078598D" w:rsidRDefault="009F0BF2" w:rsidP="009F0BF2">
      <w:pPr>
        <w:tabs>
          <w:tab w:val="left" w:pos="-1440"/>
        </w:tabs>
        <w:rPr>
          <w:rFonts w:cs="Arial"/>
          <w:szCs w:val="24"/>
          <w:lang w:val="es-419"/>
        </w:rPr>
      </w:pPr>
    </w:p>
    <w:p w14:paraId="3DE2F935" w14:textId="6A286858" w:rsidR="00F36255" w:rsidRPr="0078598D" w:rsidRDefault="00936E8D" w:rsidP="00C23327">
      <w:pPr>
        <w:pStyle w:val="CommentText"/>
        <w:rPr>
          <w:rFonts w:cs="Arial"/>
          <w:szCs w:val="24"/>
          <w:lang w:val="es-419"/>
        </w:rPr>
      </w:pPr>
      <w:r w:rsidRPr="0078598D">
        <w:rPr>
          <w:lang w:val="es-419"/>
        </w:rPr>
        <w:br w:type="page"/>
      </w:r>
      <w:r w:rsidRPr="0078598D">
        <w:rPr>
          <w:sz w:val="24"/>
          <w:lang w:val="es-419"/>
        </w:rPr>
        <w:lastRenderedPageBreak/>
        <w:t xml:space="preserve">A continuación, se presentan los objetivos de aprendizaje “generales” sobre ética y el Código de Seguros de California que aplican a todas las líneas de autoridad. </w:t>
      </w:r>
    </w:p>
    <w:p w14:paraId="477F3EF8" w14:textId="77777777" w:rsidR="00F36255" w:rsidRPr="0078598D" w:rsidRDefault="00F36255" w:rsidP="00F36255">
      <w:pPr>
        <w:widowControl/>
        <w:tabs>
          <w:tab w:val="left" w:pos="-1080"/>
          <w:tab w:val="left" w:pos="-720"/>
          <w:tab w:val="left" w:pos="720"/>
          <w:tab w:val="left" w:pos="2160"/>
          <w:tab w:val="left" w:pos="2880"/>
          <w:tab w:val="left" w:pos="4092"/>
        </w:tabs>
        <w:ind w:left="6930" w:hanging="6930"/>
        <w:rPr>
          <w:rFonts w:cs="Arial"/>
          <w:szCs w:val="24"/>
          <w:lang w:val="es-419"/>
        </w:rPr>
      </w:pPr>
    </w:p>
    <w:p w14:paraId="779F8C54" w14:textId="77777777" w:rsidR="00EE20A4" w:rsidRPr="0078598D" w:rsidRDefault="00EE20A4" w:rsidP="00EE20A4">
      <w:pPr>
        <w:widowControl/>
        <w:tabs>
          <w:tab w:val="left" w:pos="-1080"/>
          <w:tab w:val="left" w:pos="-720"/>
          <w:tab w:val="left" w:pos="540"/>
          <w:tab w:val="left" w:pos="2160"/>
          <w:tab w:val="left" w:pos="2880"/>
          <w:tab w:val="left" w:pos="4092"/>
        </w:tabs>
        <w:ind w:left="540" w:hanging="540"/>
        <w:rPr>
          <w:rFonts w:cs="Arial"/>
          <w:szCs w:val="24"/>
          <w:lang w:val="es-419"/>
        </w:rPr>
      </w:pPr>
      <w:r w:rsidRPr="0078598D">
        <w:rPr>
          <w:lang w:val="es-419"/>
        </w:rPr>
        <w:t xml:space="preserve">I. </w:t>
      </w:r>
      <w:r w:rsidRPr="0078598D">
        <w:rPr>
          <w:lang w:val="es-419"/>
        </w:rPr>
        <w:tab/>
        <w:t>Seguro general</w:t>
      </w:r>
    </w:p>
    <w:p w14:paraId="3ED7635C" w14:textId="77777777" w:rsidR="00EE20A4" w:rsidRPr="0078598D" w:rsidRDefault="00EE20A4" w:rsidP="00EE20A4">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rFonts w:cs="Arial"/>
          <w:szCs w:val="24"/>
          <w:lang w:val="es-419"/>
        </w:rPr>
      </w:pPr>
      <w:r w:rsidRPr="0078598D">
        <w:rPr>
          <w:lang w:val="es-419"/>
        </w:rPr>
        <w:t>A.</w:t>
      </w:r>
      <w:r w:rsidRPr="0078598D">
        <w:rPr>
          <w:lang w:val="es-419"/>
        </w:rPr>
        <w:tab/>
        <w:t>Conceptos y principios básicos de los seguros</w:t>
      </w:r>
    </w:p>
    <w:p w14:paraId="680B892D" w14:textId="2B37DD20" w:rsidR="00EE20A4" w:rsidRPr="0078598D" w:rsidRDefault="00EE20A4" w:rsidP="00EE20A4">
      <w:pPr>
        <w:tabs>
          <w:tab w:val="left" w:pos="-1440"/>
          <w:tab w:val="left" w:pos="1620"/>
        </w:tabs>
        <w:ind w:left="1620" w:hanging="540"/>
        <w:rPr>
          <w:rFonts w:cs="Arial"/>
          <w:szCs w:val="24"/>
          <w:lang w:val="es-419"/>
        </w:rPr>
      </w:pPr>
      <w:r w:rsidRPr="0078598D">
        <w:rPr>
          <w:lang w:val="es-419"/>
        </w:rPr>
        <w:t>1.</w:t>
      </w:r>
      <w:r w:rsidRPr="0078598D">
        <w:rPr>
          <w:lang w:val="es-419"/>
        </w:rPr>
        <w:tab/>
        <w:t>Poder identificar ejemplos de seguros, según lo definido en el art. 22 del Código de Seguros de California</w:t>
      </w:r>
    </w:p>
    <w:p w14:paraId="1D9A6B80" w14:textId="192AD058" w:rsidR="00EE20A4" w:rsidRPr="0078598D" w:rsidRDefault="00EE20A4" w:rsidP="00EE20A4">
      <w:pPr>
        <w:tabs>
          <w:tab w:val="left" w:pos="-1440"/>
          <w:tab w:val="left" w:pos="1620"/>
        </w:tabs>
        <w:ind w:left="1620" w:hanging="540"/>
        <w:rPr>
          <w:rFonts w:cs="Arial"/>
          <w:szCs w:val="24"/>
          <w:lang w:val="es-419"/>
        </w:rPr>
      </w:pPr>
      <w:r w:rsidRPr="0078598D">
        <w:rPr>
          <w:lang w:val="es-419"/>
        </w:rPr>
        <w:t>2.</w:t>
      </w:r>
      <w:r w:rsidRPr="0078598D">
        <w:rPr>
          <w:lang w:val="es-419"/>
        </w:rPr>
        <w:tab/>
        <w:t xml:space="preserve">Poder identificar la definición de eventos asegurables, art. 250 del Código de Seguros de California </w:t>
      </w:r>
    </w:p>
    <w:p w14:paraId="481AD368" w14:textId="77777777" w:rsidR="00EE20A4" w:rsidRPr="0078598D" w:rsidRDefault="00EE20A4" w:rsidP="00EE20A4">
      <w:pPr>
        <w:tabs>
          <w:tab w:val="left" w:pos="-1440"/>
          <w:tab w:val="left" w:pos="1620"/>
        </w:tabs>
        <w:ind w:left="1620" w:hanging="540"/>
        <w:rPr>
          <w:rFonts w:cs="Arial"/>
          <w:szCs w:val="24"/>
          <w:lang w:val="es-419"/>
        </w:rPr>
      </w:pPr>
    </w:p>
    <w:p w14:paraId="482D28AE" w14:textId="77777777" w:rsidR="00EE20A4" w:rsidRPr="0078598D" w:rsidRDefault="00EE20A4" w:rsidP="00EE20A4">
      <w:pPr>
        <w:ind w:left="540" w:hanging="540"/>
        <w:rPr>
          <w:rFonts w:cs="Arial"/>
          <w:szCs w:val="24"/>
          <w:lang w:val="es-419"/>
        </w:rPr>
      </w:pPr>
      <w:r w:rsidRPr="0078598D">
        <w:rPr>
          <w:lang w:val="es-419"/>
        </w:rPr>
        <w:t xml:space="preserve">I. </w:t>
      </w:r>
      <w:r w:rsidRPr="0078598D">
        <w:rPr>
          <w:lang w:val="es-419"/>
        </w:rPr>
        <w:tab/>
        <w:t>Seguro general</w:t>
      </w:r>
    </w:p>
    <w:p w14:paraId="077E6445" w14:textId="77777777" w:rsidR="00EE20A4" w:rsidRPr="0078598D" w:rsidRDefault="00EE20A4" w:rsidP="00EE20A4">
      <w:pPr>
        <w:tabs>
          <w:tab w:val="left" w:pos="-1440"/>
        </w:tabs>
        <w:ind w:left="1080" w:hanging="540"/>
        <w:rPr>
          <w:rFonts w:cs="Arial"/>
          <w:szCs w:val="24"/>
          <w:lang w:val="es-419"/>
        </w:rPr>
      </w:pPr>
      <w:r w:rsidRPr="0078598D">
        <w:rPr>
          <w:lang w:val="es-419"/>
        </w:rPr>
        <w:t>B.</w:t>
      </w:r>
      <w:r w:rsidRPr="0078598D">
        <w:rPr>
          <w:lang w:val="es-419"/>
        </w:rPr>
        <w:tab/>
        <w:t>Derecho contractual</w:t>
      </w:r>
    </w:p>
    <w:p w14:paraId="16D9625E" w14:textId="1A8790E5" w:rsidR="00EE20A4" w:rsidRPr="0078598D" w:rsidRDefault="00EE20A4" w:rsidP="00EE20A4">
      <w:pPr>
        <w:tabs>
          <w:tab w:val="left" w:pos="-1440"/>
          <w:tab w:val="left" w:pos="720"/>
        </w:tabs>
        <w:ind w:left="1620" w:hanging="540"/>
        <w:rPr>
          <w:rFonts w:cs="Arial"/>
          <w:szCs w:val="24"/>
          <w:lang w:val="es-419"/>
        </w:rPr>
      </w:pPr>
      <w:r w:rsidRPr="0078598D">
        <w:rPr>
          <w:lang w:val="es-419"/>
        </w:rPr>
        <w:t>1.</w:t>
      </w:r>
      <w:r w:rsidRPr="0078598D">
        <w:rPr>
          <w:lang w:val="es-419"/>
        </w:rPr>
        <w:tab/>
        <w:t>Poder identificar el término “póliza de seguros”, art. 380 del Código de Seguros de California</w:t>
      </w:r>
    </w:p>
    <w:p w14:paraId="2C9F6593" w14:textId="508FEA69" w:rsidR="00EE20A4" w:rsidRPr="0078598D" w:rsidRDefault="00EE20A4" w:rsidP="00EE20A4">
      <w:pPr>
        <w:tabs>
          <w:tab w:val="left" w:pos="-1440"/>
        </w:tabs>
        <w:ind w:left="1620" w:hanging="540"/>
        <w:rPr>
          <w:rFonts w:cs="Arial"/>
          <w:szCs w:val="24"/>
          <w:lang w:val="es-419"/>
        </w:rPr>
      </w:pPr>
      <w:r w:rsidRPr="0078598D">
        <w:rPr>
          <w:lang w:val="es-419"/>
        </w:rPr>
        <w:t>2.</w:t>
      </w:r>
      <w:r w:rsidRPr="0078598D">
        <w:rPr>
          <w:lang w:val="es-419"/>
        </w:rPr>
        <w:tab/>
        <w:t>Poder identificar el significado y el efecto de cada uno de los siguientes elementos en un contrato:</w:t>
      </w:r>
    </w:p>
    <w:p w14:paraId="7A087F6E" w14:textId="0F7C38BA" w:rsidR="00EE20A4" w:rsidRPr="0078598D" w:rsidRDefault="00EE20A4" w:rsidP="00EE20A4">
      <w:pPr>
        <w:tabs>
          <w:tab w:val="left" w:pos="-1440"/>
        </w:tabs>
        <w:ind w:left="2160" w:hanging="540"/>
        <w:rPr>
          <w:rFonts w:cs="Arial"/>
          <w:szCs w:val="24"/>
          <w:lang w:val="es-419"/>
        </w:rPr>
      </w:pPr>
      <w:r w:rsidRPr="0078598D">
        <w:rPr>
          <w:lang w:val="es-419"/>
        </w:rPr>
        <w:t>a.</w:t>
      </w:r>
      <w:r w:rsidRPr="0078598D">
        <w:rPr>
          <w:lang w:val="es-419"/>
        </w:rPr>
        <w:tab/>
        <w:t>Fraude, art. 338 y 1871.1 al 1871.4 del Código de Seguros de California</w:t>
      </w:r>
    </w:p>
    <w:p w14:paraId="330DA6A8" w14:textId="26020B93" w:rsidR="00EE20A4" w:rsidRPr="0078598D" w:rsidRDefault="00EE20A4" w:rsidP="00EE20A4">
      <w:pPr>
        <w:tabs>
          <w:tab w:val="left" w:pos="-1440"/>
        </w:tabs>
        <w:ind w:left="2160" w:hanging="540"/>
        <w:rPr>
          <w:rFonts w:cs="Arial"/>
          <w:szCs w:val="24"/>
          <w:lang w:val="es-419"/>
        </w:rPr>
      </w:pPr>
      <w:r w:rsidRPr="0078598D">
        <w:rPr>
          <w:lang w:val="es-419"/>
        </w:rPr>
        <w:t>b.</w:t>
      </w:r>
      <w:r w:rsidRPr="0078598D">
        <w:rPr>
          <w:lang w:val="es-419"/>
        </w:rPr>
        <w:tab/>
        <w:t>Ocultación, art. 330 al 339 del Código de Seguros de California</w:t>
      </w:r>
    </w:p>
    <w:p w14:paraId="2DBF5313" w14:textId="3C20AC84" w:rsidR="00EE20A4" w:rsidRPr="0078598D" w:rsidRDefault="00EE20A4" w:rsidP="00EE20A4">
      <w:pPr>
        <w:ind w:left="2700" w:hanging="540"/>
        <w:rPr>
          <w:rFonts w:cs="Arial"/>
          <w:szCs w:val="24"/>
          <w:lang w:val="es-419"/>
        </w:rPr>
      </w:pPr>
      <w:r w:rsidRPr="0078598D">
        <w:rPr>
          <w:lang w:val="es-419"/>
        </w:rPr>
        <w:t>i.</w:t>
      </w:r>
      <w:r w:rsidRPr="0078598D">
        <w:rPr>
          <w:lang w:val="es-419"/>
        </w:rPr>
        <w:tab/>
      </w:r>
      <w:bookmarkStart w:id="2" w:name="_Hlk71035721"/>
      <w:r w:rsidRPr="0078598D">
        <w:rPr>
          <w:lang w:val="es-419"/>
        </w:rPr>
        <w:t>Poder identificar la información que no tiene que figurar en un contrato, art. 333 del Código de Seguros de California:</w:t>
      </w:r>
    </w:p>
    <w:p w14:paraId="1FE2C3CA" w14:textId="15EEEB15" w:rsidR="00EE20A4" w:rsidRPr="0078598D" w:rsidRDefault="00EE20A4" w:rsidP="00EE20A4">
      <w:pPr>
        <w:tabs>
          <w:tab w:val="left" w:pos="1440"/>
          <w:tab w:val="left" w:pos="1890"/>
        </w:tabs>
        <w:ind w:left="3240" w:hanging="540"/>
        <w:rPr>
          <w:rFonts w:cs="Arial"/>
          <w:szCs w:val="24"/>
          <w:lang w:val="es-419"/>
        </w:rPr>
      </w:pPr>
      <w:r w:rsidRPr="0078598D">
        <w:rPr>
          <w:lang w:val="es-419"/>
        </w:rPr>
        <w:t>1)</w:t>
      </w:r>
      <w:r w:rsidRPr="0078598D">
        <w:rPr>
          <w:lang w:val="es-419"/>
        </w:rPr>
        <w:tab/>
        <w:t>Aquella de la que otros tengan conocimiento</w:t>
      </w:r>
    </w:p>
    <w:p w14:paraId="597DE596" w14:textId="3A129D41" w:rsidR="00EE20A4" w:rsidRPr="0078598D" w:rsidRDefault="00EE20A4" w:rsidP="00EE20A4">
      <w:pPr>
        <w:tabs>
          <w:tab w:val="left" w:pos="1440"/>
          <w:tab w:val="left" w:pos="1890"/>
        </w:tabs>
        <w:ind w:left="3240" w:hanging="540"/>
        <w:rPr>
          <w:rFonts w:cs="Arial"/>
          <w:szCs w:val="24"/>
          <w:lang w:val="es-419"/>
        </w:rPr>
      </w:pPr>
      <w:r w:rsidRPr="0078598D">
        <w:rPr>
          <w:lang w:val="es-419"/>
        </w:rPr>
        <w:t>2)</w:t>
      </w:r>
      <w:r w:rsidRPr="0078598D">
        <w:rPr>
          <w:lang w:val="es-419"/>
        </w:rPr>
        <w:tab/>
        <w:t>Aquella que, en el ejercicio de la diligencia ordinaria, el otro debe saber, y que la parte no tenga motivos para suponer que el otro la desconoce.</w:t>
      </w:r>
    </w:p>
    <w:p w14:paraId="4DDD9717" w14:textId="43049930" w:rsidR="00EE20A4" w:rsidRPr="0078598D" w:rsidRDefault="00EE20A4" w:rsidP="00EE20A4">
      <w:pPr>
        <w:tabs>
          <w:tab w:val="left" w:pos="1440"/>
          <w:tab w:val="left" w:pos="1890"/>
        </w:tabs>
        <w:ind w:left="3240" w:hanging="540"/>
        <w:rPr>
          <w:rFonts w:cs="Arial"/>
          <w:szCs w:val="24"/>
          <w:lang w:val="es-419"/>
        </w:rPr>
      </w:pPr>
      <w:r w:rsidRPr="0078598D">
        <w:rPr>
          <w:lang w:val="es-419"/>
        </w:rPr>
        <w:t>3)</w:t>
      </w:r>
      <w:r w:rsidRPr="0078598D">
        <w:rPr>
          <w:lang w:val="es-419"/>
        </w:rPr>
        <w:tab/>
      </w:r>
      <w:r w:rsidRPr="0078598D">
        <w:rPr>
          <w:snapToGrid/>
          <w:lang w:val="es-419"/>
        </w:rPr>
        <w:t>Aquella que la otra parte renuncia a comunicar</w:t>
      </w:r>
    </w:p>
    <w:p w14:paraId="25DF50EC" w14:textId="15C65324" w:rsidR="00247404" w:rsidRPr="0078598D" w:rsidRDefault="00EE20A4" w:rsidP="00EE20A4">
      <w:pPr>
        <w:tabs>
          <w:tab w:val="left" w:pos="1440"/>
          <w:tab w:val="left" w:pos="1890"/>
        </w:tabs>
        <w:ind w:left="3240" w:hanging="540"/>
        <w:rPr>
          <w:rFonts w:cs="Arial"/>
          <w:szCs w:val="24"/>
          <w:lang w:val="es-419"/>
        </w:rPr>
      </w:pPr>
      <w:r w:rsidRPr="0078598D">
        <w:rPr>
          <w:lang w:val="es-419"/>
        </w:rPr>
        <w:t>4)</w:t>
      </w:r>
      <w:r w:rsidRPr="0078598D">
        <w:rPr>
          <w:lang w:val="es-419"/>
        </w:rPr>
        <w:tab/>
      </w:r>
      <w:r w:rsidRPr="0078598D">
        <w:rPr>
          <w:snapToGrid/>
          <w:lang w:val="es-419"/>
        </w:rPr>
        <w:t>Aquella que pruebe o tienda a probar la existencia de un riesgo excluido por una garantía, y que, por lo demás, no sea material</w:t>
      </w:r>
      <w:r w:rsidRPr="0078598D">
        <w:rPr>
          <w:lang w:val="es-419"/>
        </w:rPr>
        <w:t xml:space="preserve"> </w:t>
      </w:r>
    </w:p>
    <w:p w14:paraId="48FA20E6" w14:textId="6187DE74" w:rsidR="00EE20A4" w:rsidRPr="0078598D" w:rsidRDefault="00247404" w:rsidP="00247404">
      <w:pPr>
        <w:tabs>
          <w:tab w:val="left" w:pos="1440"/>
          <w:tab w:val="left" w:pos="1890"/>
        </w:tabs>
        <w:ind w:left="3240" w:hanging="540"/>
        <w:rPr>
          <w:rFonts w:cs="Arial"/>
          <w:szCs w:val="24"/>
          <w:lang w:val="es-419"/>
        </w:rPr>
      </w:pPr>
      <w:r w:rsidRPr="0078598D">
        <w:rPr>
          <w:lang w:val="es-419"/>
        </w:rPr>
        <w:t>5)</w:t>
      </w:r>
      <w:r w:rsidRPr="0078598D">
        <w:rPr>
          <w:lang w:val="es-419"/>
        </w:rPr>
        <w:tab/>
      </w:r>
      <w:r w:rsidRPr="0078598D">
        <w:rPr>
          <w:snapToGrid/>
          <w:lang w:val="es-419"/>
        </w:rPr>
        <w:t>Aquella que tenga relación con un riesgo exceptuado del seguro, y que, por lo demás, no sea material</w:t>
      </w:r>
      <w:r w:rsidRPr="0078598D">
        <w:rPr>
          <w:lang w:val="es-419"/>
        </w:rPr>
        <w:t xml:space="preserve"> </w:t>
      </w:r>
    </w:p>
    <w:bookmarkEnd w:id="2"/>
    <w:p w14:paraId="3ECD05B3" w14:textId="2FED7E36" w:rsidR="00EE20A4" w:rsidRPr="0078598D" w:rsidRDefault="00EE20A4" w:rsidP="00247404">
      <w:pPr>
        <w:tabs>
          <w:tab w:val="left" w:pos="-1440"/>
        </w:tabs>
        <w:ind w:left="2160" w:hanging="540"/>
        <w:rPr>
          <w:rFonts w:cs="Arial"/>
          <w:szCs w:val="24"/>
          <w:lang w:val="es-419"/>
        </w:rPr>
      </w:pPr>
      <w:r w:rsidRPr="0078598D">
        <w:rPr>
          <w:lang w:val="es-419"/>
        </w:rPr>
        <w:t>c.</w:t>
      </w:r>
      <w:r w:rsidRPr="0078598D">
        <w:rPr>
          <w:lang w:val="es-419"/>
        </w:rPr>
        <w:tab/>
        <w:t>Garantía, art. 440 al 449 del Código de Seguros de California</w:t>
      </w:r>
    </w:p>
    <w:p w14:paraId="5A607E51" w14:textId="3B09C02B" w:rsidR="00EE20A4" w:rsidRPr="0078598D" w:rsidRDefault="00EE20A4" w:rsidP="00247404">
      <w:pPr>
        <w:tabs>
          <w:tab w:val="left" w:pos="-1440"/>
        </w:tabs>
        <w:ind w:left="2700" w:hanging="540"/>
        <w:rPr>
          <w:rFonts w:cs="Arial"/>
          <w:szCs w:val="24"/>
          <w:lang w:val="es-419"/>
        </w:rPr>
      </w:pPr>
      <w:r w:rsidRPr="0078598D">
        <w:rPr>
          <w:lang w:val="es-419"/>
        </w:rPr>
        <w:t>i.</w:t>
      </w:r>
      <w:r w:rsidRPr="0078598D">
        <w:rPr>
          <w:lang w:val="es-419"/>
        </w:rPr>
        <w:tab/>
        <w:t>Saber que una garantía puede ser expresa o implícita</w:t>
      </w:r>
    </w:p>
    <w:p w14:paraId="42DABE8B" w14:textId="4A3F0540" w:rsidR="00EE20A4" w:rsidRPr="0078598D" w:rsidRDefault="00EE20A4" w:rsidP="00EE20A4">
      <w:pPr>
        <w:tabs>
          <w:tab w:val="left" w:pos="-1440"/>
        </w:tabs>
        <w:ind w:left="2160" w:hanging="540"/>
        <w:rPr>
          <w:rFonts w:cs="Arial"/>
          <w:szCs w:val="24"/>
          <w:lang w:val="es-419"/>
        </w:rPr>
      </w:pPr>
      <w:r w:rsidRPr="0078598D">
        <w:rPr>
          <w:lang w:val="es-419"/>
        </w:rPr>
        <w:t>d.</w:t>
      </w:r>
      <w:r w:rsidRPr="0078598D">
        <w:rPr>
          <w:lang w:val="es-419"/>
        </w:rPr>
        <w:tab/>
        <w:t>Trascendencia, art. 334 del Código de Seguros de California</w:t>
      </w:r>
    </w:p>
    <w:p w14:paraId="5CCCC185" w14:textId="48F32F87"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Saber que la transcendencia del ocultamiento es la base para determinar la importancia de una declaración falsa</w:t>
      </w:r>
    </w:p>
    <w:p w14:paraId="36290227" w14:textId="25485A03" w:rsidR="00EE20A4" w:rsidRPr="0078598D" w:rsidRDefault="00EE20A4" w:rsidP="00EE20A4">
      <w:pPr>
        <w:tabs>
          <w:tab w:val="left" w:pos="-1440"/>
        </w:tabs>
        <w:ind w:left="2160" w:hanging="540"/>
        <w:rPr>
          <w:rFonts w:cs="Arial"/>
          <w:szCs w:val="24"/>
          <w:lang w:val="es-419"/>
        </w:rPr>
      </w:pPr>
      <w:r w:rsidRPr="0078598D">
        <w:rPr>
          <w:lang w:val="es-419"/>
        </w:rPr>
        <w:t>e.</w:t>
      </w:r>
      <w:r w:rsidRPr="0078598D">
        <w:rPr>
          <w:lang w:val="es-419"/>
        </w:rPr>
        <w:tab/>
        <w:t xml:space="preserve">Declaraciones, art. 350 al 361 del Código de Seguros de California </w:t>
      </w:r>
    </w:p>
    <w:p w14:paraId="5E446F27" w14:textId="44F7F402"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 xml:space="preserve">Saber cuándo se puede modificar o retirar una declaración, art. 355 del Código de Seguros de California </w:t>
      </w:r>
    </w:p>
    <w:p w14:paraId="026914F9" w14:textId="347323E9"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Saber que una declaración es falsa cuando los hechos no corresponden con sus aseveraciones o estipulaciones, art. 358 del Código de Seguros de California</w:t>
      </w:r>
      <w:r w:rsidR="002A036E">
        <w:rPr>
          <w:lang w:val="es-419"/>
        </w:rPr>
        <w:br/>
      </w:r>
    </w:p>
    <w:p w14:paraId="145633DB" w14:textId="1A60B38F" w:rsidR="007C6D89" w:rsidRPr="0078598D" w:rsidRDefault="007C6D89" w:rsidP="00EE20A4">
      <w:pPr>
        <w:tabs>
          <w:tab w:val="left" w:pos="-1440"/>
        </w:tabs>
        <w:ind w:left="2700" w:hanging="540"/>
        <w:rPr>
          <w:rFonts w:cs="Arial"/>
          <w:szCs w:val="24"/>
          <w:lang w:val="es-419"/>
        </w:rPr>
      </w:pPr>
      <w:proofErr w:type="spellStart"/>
      <w:r w:rsidRPr="0078598D">
        <w:rPr>
          <w:lang w:val="es-419"/>
        </w:rPr>
        <w:lastRenderedPageBreak/>
        <w:t>iii</w:t>
      </w:r>
      <w:proofErr w:type="spellEnd"/>
      <w:r w:rsidRPr="0078598D">
        <w:rPr>
          <w:lang w:val="es-419"/>
        </w:rPr>
        <w:t>.</w:t>
      </w:r>
      <w:r w:rsidRPr="0078598D">
        <w:rPr>
          <w:lang w:val="es-419"/>
        </w:rPr>
        <w:tab/>
        <w:t>Saber que una declaración no puede calificar como una disposición expresa en un contrato de seguros, pero sí como una garantía implícita, art. 354 del Código de Seguros de California</w:t>
      </w:r>
    </w:p>
    <w:p w14:paraId="4A101028" w14:textId="403581A1" w:rsidR="00EE20A4" w:rsidRPr="0078598D" w:rsidRDefault="00EE20A4" w:rsidP="00057F4E">
      <w:pPr>
        <w:tabs>
          <w:tab w:val="left" w:pos="-1440"/>
        </w:tabs>
        <w:ind w:left="2160" w:hanging="540"/>
        <w:rPr>
          <w:rFonts w:cs="Arial"/>
          <w:szCs w:val="24"/>
          <w:lang w:val="es-419"/>
        </w:rPr>
      </w:pPr>
      <w:r w:rsidRPr="0078598D">
        <w:rPr>
          <w:lang w:val="es-419"/>
        </w:rPr>
        <w:t>f.</w:t>
      </w:r>
      <w:r w:rsidRPr="0078598D">
        <w:rPr>
          <w:lang w:val="es-419"/>
        </w:rPr>
        <w:tab/>
        <w:t xml:space="preserve">Declaración falsa, art. 780 al 784 del Código de Seguros de California </w:t>
      </w:r>
    </w:p>
    <w:p w14:paraId="15AE1E8A" w14:textId="5FBACB1D" w:rsidR="00EF6EFC" w:rsidRPr="0078598D" w:rsidRDefault="0040074A" w:rsidP="002A036E">
      <w:pPr>
        <w:tabs>
          <w:tab w:val="left" w:pos="-1440"/>
          <w:tab w:val="left" w:pos="720"/>
        </w:tabs>
        <w:ind w:left="1620" w:hanging="540"/>
        <w:rPr>
          <w:rFonts w:cs="Arial"/>
          <w:szCs w:val="24"/>
          <w:lang w:val="es-419"/>
        </w:rPr>
      </w:pPr>
      <w:r w:rsidRPr="0078598D">
        <w:rPr>
          <w:lang w:val="es-419"/>
        </w:rPr>
        <w:t>3.</w:t>
      </w:r>
      <w:r w:rsidRPr="0078598D">
        <w:rPr>
          <w:lang w:val="es-419"/>
        </w:rPr>
        <w:tab/>
        <w:t>Poder identificar seis especificaciones obligatorias en todas las pólizas de seguros, art. 381 del Código de Seguros de California</w:t>
      </w:r>
    </w:p>
    <w:p w14:paraId="1D25B75D" w14:textId="055735A7" w:rsidR="00735E23" w:rsidRPr="0078598D" w:rsidRDefault="00EF6EFC" w:rsidP="002A036E">
      <w:pPr>
        <w:tabs>
          <w:tab w:val="left" w:pos="-1440"/>
        </w:tabs>
        <w:ind w:left="2160" w:hanging="540"/>
        <w:rPr>
          <w:rFonts w:cs="Arial"/>
          <w:szCs w:val="24"/>
          <w:lang w:val="es-419"/>
        </w:rPr>
      </w:pPr>
      <w:r w:rsidRPr="0078598D">
        <w:rPr>
          <w:lang w:val="es-419"/>
        </w:rPr>
        <w:t>a.</w:t>
      </w:r>
      <w:r w:rsidRPr="0078598D">
        <w:rPr>
          <w:lang w:val="es-419"/>
        </w:rPr>
        <w:tab/>
        <w:t>Las partes que celebran el contrato</w:t>
      </w:r>
    </w:p>
    <w:p w14:paraId="4AF83497" w14:textId="50EAB298" w:rsidR="00735E23" w:rsidRPr="0078598D" w:rsidRDefault="00735E23" w:rsidP="00384DD0">
      <w:pPr>
        <w:pStyle w:val="Quick1"/>
        <w:numPr>
          <w:ilvl w:val="0"/>
          <w:numId w:val="0"/>
        </w:numPr>
        <w:tabs>
          <w:tab w:val="left" w:pos="-1440"/>
          <w:tab w:val="num" w:pos="2160"/>
        </w:tabs>
        <w:ind w:left="2160" w:hanging="540"/>
        <w:rPr>
          <w:rFonts w:cs="Arial"/>
          <w:szCs w:val="24"/>
          <w:lang w:val="es-419"/>
        </w:rPr>
      </w:pPr>
      <w:r w:rsidRPr="0078598D">
        <w:rPr>
          <w:lang w:val="es-419"/>
        </w:rPr>
        <w:t>b.</w:t>
      </w:r>
      <w:r w:rsidRPr="0078598D">
        <w:rPr>
          <w:lang w:val="es-419"/>
        </w:rPr>
        <w:tab/>
        <w:t>La propiedad o la vida que se asegura</w:t>
      </w:r>
    </w:p>
    <w:p w14:paraId="2F065B79" w14:textId="7DB1FF30" w:rsidR="00735E23" w:rsidRPr="0078598D" w:rsidRDefault="00735E23" w:rsidP="00384DD0">
      <w:pPr>
        <w:pStyle w:val="Quick1"/>
        <w:numPr>
          <w:ilvl w:val="0"/>
          <w:numId w:val="0"/>
        </w:numPr>
        <w:tabs>
          <w:tab w:val="left" w:pos="-1440"/>
          <w:tab w:val="num" w:pos="2160"/>
        </w:tabs>
        <w:ind w:left="2160" w:hanging="540"/>
        <w:rPr>
          <w:rFonts w:cs="Arial"/>
          <w:szCs w:val="24"/>
          <w:lang w:val="es-419"/>
        </w:rPr>
      </w:pPr>
      <w:r w:rsidRPr="0078598D">
        <w:rPr>
          <w:lang w:val="es-419"/>
        </w:rPr>
        <w:t>c.</w:t>
      </w:r>
      <w:r w:rsidRPr="0078598D">
        <w:rPr>
          <w:lang w:val="es-419"/>
        </w:rPr>
        <w:tab/>
        <w:t>El interés del asegurado en la propiedad asegurada, si no es su propietario absoluto</w:t>
      </w:r>
    </w:p>
    <w:p w14:paraId="21F009E6" w14:textId="39DE5781" w:rsidR="00735E23" w:rsidRPr="0078598D" w:rsidRDefault="00735E23" w:rsidP="00384DD0">
      <w:pPr>
        <w:pStyle w:val="Quick1"/>
        <w:numPr>
          <w:ilvl w:val="0"/>
          <w:numId w:val="0"/>
        </w:numPr>
        <w:tabs>
          <w:tab w:val="left" w:pos="-1440"/>
          <w:tab w:val="num" w:pos="2160"/>
        </w:tabs>
        <w:ind w:left="2160" w:hanging="540"/>
        <w:rPr>
          <w:rFonts w:cs="Arial"/>
          <w:szCs w:val="24"/>
          <w:lang w:val="es-419"/>
        </w:rPr>
      </w:pPr>
      <w:r w:rsidRPr="0078598D">
        <w:rPr>
          <w:lang w:val="es-419"/>
        </w:rPr>
        <w:t>d.</w:t>
      </w:r>
      <w:r w:rsidRPr="0078598D">
        <w:rPr>
          <w:lang w:val="es-419"/>
        </w:rPr>
        <w:tab/>
        <w:t>Los riesgos contra los cuales se compra un seguro</w:t>
      </w:r>
    </w:p>
    <w:p w14:paraId="10B88756" w14:textId="383DF54F" w:rsidR="00735E23" w:rsidRPr="0078598D" w:rsidRDefault="00735E23" w:rsidP="00384DD0">
      <w:pPr>
        <w:pStyle w:val="Quick1"/>
        <w:numPr>
          <w:ilvl w:val="0"/>
          <w:numId w:val="0"/>
        </w:numPr>
        <w:tabs>
          <w:tab w:val="left" w:pos="-1440"/>
          <w:tab w:val="num" w:pos="2160"/>
        </w:tabs>
        <w:ind w:left="2160" w:hanging="540"/>
        <w:rPr>
          <w:rFonts w:cs="Arial"/>
          <w:szCs w:val="24"/>
          <w:lang w:val="es-419"/>
        </w:rPr>
      </w:pPr>
      <w:r w:rsidRPr="0078598D">
        <w:rPr>
          <w:lang w:val="es-419"/>
        </w:rPr>
        <w:t>e.</w:t>
      </w:r>
      <w:r w:rsidRPr="0078598D">
        <w:rPr>
          <w:lang w:val="es-419"/>
        </w:rPr>
        <w:tab/>
        <w:t>El período durante el cual debe continuar el seguro</w:t>
      </w:r>
    </w:p>
    <w:p w14:paraId="799B1AD0" w14:textId="3097C522" w:rsidR="002B6CA9" w:rsidRPr="0078598D" w:rsidRDefault="00735E23" w:rsidP="00F62E93">
      <w:pPr>
        <w:pStyle w:val="Quick1"/>
        <w:numPr>
          <w:ilvl w:val="0"/>
          <w:numId w:val="0"/>
        </w:numPr>
        <w:tabs>
          <w:tab w:val="left" w:pos="-1440"/>
          <w:tab w:val="num" w:pos="2160"/>
        </w:tabs>
        <w:ind w:left="2160" w:hanging="540"/>
        <w:rPr>
          <w:rFonts w:cs="Arial"/>
          <w:szCs w:val="24"/>
          <w:lang w:val="es-419"/>
        </w:rPr>
      </w:pPr>
      <w:r w:rsidRPr="0078598D">
        <w:rPr>
          <w:lang w:val="es-419"/>
        </w:rPr>
        <w:t>f.</w:t>
      </w:r>
      <w:r w:rsidRPr="0078598D">
        <w:rPr>
          <w:lang w:val="es-419"/>
        </w:rPr>
        <w:tab/>
        <w:t>Una declaración de la prima o de la base y las tarifas sobre las que se debe determinar la prima final.</w:t>
      </w:r>
    </w:p>
    <w:p w14:paraId="4E60A0FC" w14:textId="2FBBA8D5" w:rsidR="00FD0BDC" w:rsidRPr="0078598D" w:rsidRDefault="00D60804" w:rsidP="002A036E">
      <w:pPr>
        <w:tabs>
          <w:tab w:val="left" w:pos="-1440"/>
          <w:tab w:val="left" w:pos="720"/>
        </w:tabs>
        <w:ind w:left="1620" w:hanging="540"/>
        <w:rPr>
          <w:rFonts w:cs="Arial"/>
          <w:szCs w:val="24"/>
          <w:lang w:val="es-419"/>
        </w:rPr>
      </w:pPr>
      <w:r w:rsidRPr="0078598D">
        <w:rPr>
          <w:lang w:val="es-419"/>
        </w:rPr>
        <w:t>4.</w:t>
      </w:r>
      <w:r w:rsidRPr="0078598D">
        <w:rPr>
          <w:lang w:val="es-419"/>
        </w:rPr>
        <w:tab/>
        <w:t xml:space="preserve">Poder identificar: </w:t>
      </w:r>
    </w:p>
    <w:p w14:paraId="6C0CD476" w14:textId="4D48BF35" w:rsidR="00EE20A4" w:rsidRPr="0078598D" w:rsidRDefault="00FD0BDC" w:rsidP="002A036E">
      <w:pPr>
        <w:pStyle w:val="Quick1"/>
        <w:numPr>
          <w:ilvl w:val="0"/>
          <w:numId w:val="0"/>
        </w:numPr>
        <w:tabs>
          <w:tab w:val="left" w:pos="-1440"/>
          <w:tab w:val="num" w:pos="2160"/>
        </w:tabs>
        <w:ind w:left="2160" w:hanging="540"/>
        <w:rPr>
          <w:rFonts w:cs="Arial"/>
          <w:szCs w:val="24"/>
          <w:lang w:val="es-419"/>
        </w:rPr>
      </w:pPr>
      <w:r w:rsidRPr="0078598D">
        <w:rPr>
          <w:lang w:val="es-419"/>
        </w:rPr>
        <w:t>a.</w:t>
      </w:r>
      <w:r w:rsidRPr="0078598D">
        <w:rPr>
          <w:lang w:val="es-419"/>
        </w:rPr>
        <w:tab/>
        <w:t>El significado del término rescisión</w:t>
      </w:r>
    </w:p>
    <w:p w14:paraId="433FA8CE" w14:textId="7B97BB50" w:rsidR="008A6CF7" w:rsidRPr="0078598D" w:rsidRDefault="00EE20A4" w:rsidP="002A036E">
      <w:pPr>
        <w:pStyle w:val="Quick1"/>
        <w:numPr>
          <w:ilvl w:val="0"/>
          <w:numId w:val="0"/>
        </w:numPr>
        <w:tabs>
          <w:tab w:val="left" w:pos="-1440"/>
          <w:tab w:val="num" w:pos="2160"/>
        </w:tabs>
        <w:ind w:left="2160" w:hanging="540"/>
        <w:rPr>
          <w:rFonts w:cs="Arial"/>
          <w:szCs w:val="24"/>
          <w:lang w:val="es-419"/>
        </w:rPr>
      </w:pPr>
      <w:r w:rsidRPr="0078598D">
        <w:rPr>
          <w:lang w:val="es-419"/>
        </w:rPr>
        <w:t>b.</w:t>
      </w:r>
      <w:r w:rsidRPr="0078598D">
        <w:rPr>
          <w:lang w:val="es-419"/>
        </w:rPr>
        <w:tab/>
        <w:t>Cuándo una aseguradora tiene el derecho de rescisión</w:t>
      </w:r>
    </w:p>
    <w:p w14:paraId="7C3BBD13" w14:textId="7ADC2732" w:rsidR="008A6CF7" w:rsidRPr="0078598D" w:rsidRDefault="0060113D" w:rsidP="002A036E">
      <w:pPr>
        <w:tabs>
          <w:tab w:val="left" w:pos="-1440"/>
        </w:tabs>
        <w:ind w:left="2700" w:hanging="540"/>
        <w:rPr>
          <w:rFonts w:cs="Arial"/>
          <w:szCs w:val="24"/>
          <w:lang w:val="es-419"/>
        </w:rPr>
      </w:pPr>
      <w:r w:rsidRPr="0078598D">
        <w:rPr>
          <w:lang w:val="es-419"/>
        </w:rPr>
        <w:t>i.</w:t>
      </w:r>
      <w:r w:rsidRPr="0078598D">
        <w:rPr>
          <w:lang w:val="es-419"/>
        </w:rPr>
        <w:tab/>
        <w:t>Omisión intencional y fraudulenta, art. 338 del Código de Seguros de California</w:t>
      </w:r>
    </w:p>
    <w:p w14:paraId="1AD184BB" w14:textId="155667EE" w:rsidR="008A6CF7" w:rsidRPr="0078598D" w:rsidRDefault="0060113D" w:rsidP="002A036E">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Declaración falsa material, art. 359 del Código de Seguros de California</w:t>
      </w:r>
    </w:p>
    <w:p w14:paraId="72DDB31A" w14:textId="2EDDCF3B" w:rsidR="00E940C2" w:rsidRPr="0078598D" w:rsidRDefault="0060113D" w:rsidP="002A036E">
      <w:pPr>
        <w:tabs>
          <w:tab w:val="left" w:pos="-144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 xml:space="preserve">Violación de una garantía o disposición material, art. 447 del Código de Seguros de California </w:t>
      </w:r>
    </w:p>
    <w:p w14:paraId="3E2CDCFD" w14:textId="3ECCA8B9" w:rsidR="0060113D" w:rsidRPr="0078598D" w:rsidRDefault="0060113D" w:rsidP="0060113D">
      <w:pPr>
        <w:pStyle w:val="ListParagraph"/>
        <w:tabs>
          <w:tab w:val="left" w:pos="-1440"/>
        </w:tabs>
        <w:ind w:left="1080" w:firstLine="540"/>
        <w:rPr>
          <w:rFonts w:cs="Arial"/>
          <w:szCs w:val="24"/>
          <w:lang w:val="es-419"/>
        </w:rPr>
      </w:pPr>
      <w:r w:rsidRPr="0078598D">
        <w:rPr>
          <w:lang w:val="es-419"/>
        </w:rPr>
        <w:t>c.</w:t>
      </w:r>
      <w:r w:rsidRPr="0078598D">
        <w:rPr>
          <w:lang w:val="es-419"/>
        </w:rPr>
        <w:tab/>
        <w:t xml:space="preserve">Ocultación, art. 331 del Código de Seguros de California </w:t>
      </w:r>
    </w:p>
    <w:p w14:paraId="5A26A927" w14:textId="620495A1" w:rsidR="0060113D" w:rsidRPr="0078598D" w:rsidRDefault="0060113D" w:rsidP="002A036E">
      <w:pPr>
        <w:tabs>
          <w:tab w:val="left" w:pos="-1440"/>
        </w:tabs>
        <w:ind w:left="2700" w:hanging="540"/>
        <w:rPr>
          <w:rFonts w:cs="Arial"/>
          <w:szCs w:val="24"/>
          <w:lang w:val="es-419"/>
        </w:rPr>
      </w:pPr>
      <w:r w:rsidRPr="0078598D">
        <w:rPr>
          <w:lang w:val="es-419"/>
        </w:rPr>
        <w:t>i.</w:t>
      </w:r>
      <w:r w:rsidRPr="0078598D">
        <w:rPr>
          <w:lang w:val="es-419"/>
        </w:rPr>
        <w:tab/>
        <w:t>Saber que el ocultamiento, intencional o no, le da derecho a la parte perjudicada a rescindir un contrato.</w:t>
      </w:r>
    </w:p>
    <w:p w14:paraId="0D96A9FE" w14:textId="77777777" w:rsidR="00EE20A4" w:rsidRPr="0078598D" w:rsidRDefault="00EE20A4" w:rsidP="00EE20A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rFonts w:cs="Arial"/>
          <w:szCs w:val="24"/>
          <w:lang w:val="es-419"/>
        </w:rPr>
      </w:pPr>
    </w:p>
    <w:p w14:paraId="68042467" w14:textId="77777777" w:rsidR="00EE20A4" w:rsidRPr="0078598D" w:rsidRDefault="00EE20A4" w:rsidP="00EE20A4">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rFonts w:cs="Arial"/>
          <w:szCs w:val="24"/>
          <w:lang w:val="es-419"/>
        </w:rPr>
      </w:pPr>
      <w:r w:rsidRPr="0078598D">
        <w:rPr>
          <w:lang w:val="es-419"/>
        </w:rPr>
        <w:t>I.</w:t>
      </w:r>
      <w:r w:rsidRPr="0078598D">
        <w:rPr>
          <w:lang w:val="es-419"/>
        </w:rPr>
        <w:tab/>
        <w:t>Seguro general</w:t>
      </w:r>
    </w:p>
    <w:p w14:paraId="01F566ED" w14:textId="77777777" w:rsidR="00EE20A4" w:rsidRPr="0078598D" w:rsidRDefault="00EE20A4" w:rsidP="00EE20A4">
      <w:pPr>
        <w:tabs>
          <w:tab w:val="left" w:pos="-1440"/>
          <w:tab w:val="left" w:pos="1170"/>
        </w:tabs>
        <w:ind w:left="1080" w:hanging="540"/>
        <w:rPr>
          <w:rFonts w:cs="Arial"/>
          <w:szCs w:val="24"/>
          <w:lang w:val="es-419"/>
        </w:rPr>
      </w:pPr>
      <w:r w:rsidRPr="0078598D">
        <w:rPr>
          <w:lang w:val="es-419"/>
        </w:rPr>
        <w:t>C.</w:t>
      </w:r>
      <w:r w:rsidRPr="0078598D">
        <w:rPr>
          <w:lang w:val="es-419"/>
        </w:rPr>
        <w:tab/>
        <w:t>El mercado de seguros</w:t>
      </w:r>
    </w:p>
    <w:p w14:paraId="3E7A4DF7" w14:textId="77777777" w:rsidR="00EE20A4" w:rsidRPr="0078598D" w:rsidRDefault="00EE20A4" w:rsidP="00EE20A4">
      <w:pPr>
        <w:tabs>
          <w:tab w:val="left" w:pos="-1440"/>
          <w:tab w:val="left" w:pos="1620"/>
        </w:tabs>
        <w:ind w:left="1620" w:hanging="540"/>
        <w:rPr>
          <w:rFonts w:cs="Arial"/>
          <w:szCs w:val="24"/>
          <w:lang w:val="es-419"/>
        </w:rPr>
      </w:pPr>
      <w:r w:rsidRPr="0078598D">
        <w:rPr>
          <w:lang w:val="es-419"/>
        </w:rPr>
        <w:t>1.</w:t>
      </w:r>
      <w:r w:rsidRPr="0078598D">
        <w:rPr>
          <w:lang w:val="es-419"/>
        </w:rPr>
        <w:tab/>
        <w:t>Sistemas de distribución</w:t>
      </w:r>
    </w:p>
    <w:p w14:paraId="750DDB97" w14:textId="64ED2F68" w:rsidR="00EE20A4" w:rsidRPr="0078598D" w:rsidRDefault="00EE20A4" w:rsidP="00EE20A4">
      <w:pPr>
        <w:tabs>
          <w:tab w:val="left" w:pos="-1440"/>
          <w:tab w:val="left" w:pos="2160"/>
        </w:tabs>
        <w:ind w:left="2160" w:hanging="540"/>
        <w:rPr>
          <w:rFonts w:cs="Arial"/>
          <w:szCs w:val="24"/>
          <w:lang w:val="es-419"/>
        </w:rPr>
      </w:pPr>
      <w:r w:rsidRPr="0078598D">
        <w:rPr>
          <w:lang w:val="es-419"/>
        </w:rPr>
        <w:t>a.</w:t>
      </w:r>
      <w:r w:rsidRPr="0078598D">
        <w:rPr>
          <w:lang w:val="es-419"/>
        </w:rPr>
        <w:tab/>
        <w:t>Poder identificar una definición de los siguientes sistemas de distribución:</w:t>
      </w:r>
    </w:p>
    <w:p w14:paraId="2FAE1F0D" w14:textId="40325F9C" w:rsidR="00EE20A4" w:rsidRPr="0078598D" w:rsidRDefault="00EE20A4" w:rsidP="00EE20A4">
      <w:pPr>
        <w:tabs>
          <w:tab w:val="left" w:pos="-1440"/>
          <w:tab w:val="left" w:pos="2160"/>
        </w:tabs>
        <w:ind w:left="2700" w:hanging="540"/>
        <w:rPr>
          <w:rFonts w:cs="Arial"/>
          <w:szCs w:val="24"/>
          <w:lang w:val="es-419"/>
        </w:rPr>
      </w:pPr>
      <w:r w:rsidRPr="0078598D">
        <w:rPr>
          <w:lang w:val="es-419"/>
        </w:rPr>
        <w:t>i.</w:t>
      </w:r>
      <w:r w:rsidRPr="0078598D">
        <w:rPr>
          <w:lang w:val="es-419"/>
        </w:rPr>
        <w:tab/>
        <w:t>Agentes de seguros cautivos</w:t>
      </w:r>
    </w:p>
    <w:p w14:paraId="45E9FE7A" w14:textId="7A409486" w:rsidR="00EE20A4" w:rsidRPr="0078598D" w:rsidRDefault="00EE20A4" w:rsidP="00EE20A4">
      <w:pPr>
        <w:tabs>
          <w:tab w:val="left" w:pos="-1440"/>
          <w:tab w:val="left" w:pos="216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Suscriptores de seguros directos</w:t>
      </w:r>
    </w:p>
    <w:p w14:paraId="3CD47679" w14:textId="18F6278C" w:rsidR="00EE20A4" w:rsidRPr="0078598D" w:rsidRDefault="00EE20A4" w:rsidP="00EE20A4">
      <w:pPr>
        <w:tabs>
          <w:tab w:val="left" w:pos="-1440"/>
          <w:tab w:val="left" w:pos="216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Agentes independientes</w:t>
      </w:r>
    </w:p>
    <w:p w14:paraId="3DD1C5DE" w14:textId="77777777" w:rsidR="00EE20A4" w:rsidRPr="0078598D" w:rsidRDefault="00EE20A4" w:rsidP="00EE20A4">
      <w:pPr>
        <w:tabs>
          <w:tab w:val="left" w:pos="-1440"/>
          <w:tab w:val="left" w:pos="2160"/>
        </w:tabs>
        <w:ind w:left="2700" w:hanging="540"/>
        <w:rPr>
          <w:rFonts w:cs="Arial"/>
          <w:szCs w:val="24"/>
          <w:lang w:val="es-419"/>
        </w:rPr>
      </w:pPr>
    </w:p>
    <w:p w14:paraId="33A09B2F" w14:textId="77777777" w:rsidR="00EE20A4" w:rsidRPr="0078598D" w:rsidRDefault="00EE20A4" w:rsidP="00EE20A4">
      <w:pPr>
        <w:tabs>
          <w:tab w:val="left" w:pos="-1440"/>
          <w:tab w:val="left" w:pos="2160"/>
        </w:tabs>
        <w:ind w:left="540" w:hanging="540"/>
        <w:rPr>
          <w:rFonts w:cs="Arial"/>
          <w:szCs w:val="24"/>
          <w:lang w:val="es-419"/>
        </w:rPr>
      </w:pPr>
      <w:r w:rsidRPr="0078598D">
        <w:rPr>
          <w:lang w:val="es-419"/>
        </w:rPr>
        <w:t>I.</w:t>
      </w:r>
      <w:r w:rsidRPr="0078598D">
        <w:rPr>
          <w:lang w:val="es-419"/>
        </w:rPr>
        <w:tab/>
        <w:t>Seguro general</w:t>
      </w:r>
    </w:p>
    <w:p w14:paraId="336E2321" w14:textId="1A8EE087" w:rsidR="00EE20A4" w:rsidRPr="0078598D" w:rsidRDefault="00EE20A4" w:rsidP="00EE20A4">
      <w:pPr>
        <w:tabs>
          <w:tab w:val="left" w:pos="-1440"/>
        </w:tabs>
        <w:ind w:left="1080" w:hanging="540"/>
        <w:rPr>
          <w:rFonts w:cs="Arial"/>
          <w:szCs w:val="24"/>
          <w:lang w:val="es-419"/>
        </w:rPr>
      </w:pPr>
      <w:r w:rsidRPr="0078598D">
        <w:rPr>
          <w:lang w:val="es-419"/>
        </w:rPr>
        <w:t>C.</w:t>
      </w:r>
      <w:r w:rsidRPr="0078598D">
        <w:rPr>
          <w:lang w:val="es-419"/>
        </w:rPr>
        <w:tab/>
        <w:t>El mercado de seguros</w:t>
      </w:r>
    </w:p>
    <w:p w14:paraId="234686A7" w14:textId="76485AA7" w:rsidR="00EE20A4" w:rsidRPr="0078598D" w:rsidRDefault="00EE20A4" w:rsidP="00EE20A4">
      <w:pPr>
        <w:tabs>
          <w:tab w:val="left" w:pos="-1440"/>
        </w:tabs>
        <w:ind w:left="1620" w:hanging="540"/>
        <w:rPr>
          <w:rFonts w:cs="Arial"/>
          <w:szCs w:val="24"/>
          <w:lang w:val="es-419"/>
        </w:rPr>
      </w:pPr>
      <w:r w:rsidRPr="0078598D">
        <w:rPr>
          <w:lang w:val="es-419"/>
        </w:rPr>
        <w:t>2.</w:t>
      </w:r>
      <w:r w:rsidRPr="0078598D">
        <w:rPr>
          <w:lang w:val="es-419"/>
        </w:rPr>
        <w:tab/>
        <w:t xml:space="preserve"> Asesores de seguros</w:t>
      </w:r>
    </w:p>
    <w:p w14:paraId="63A86A17" w14:textId="05DC3610" w:rsidR="00EE20A4" w:rsidRPr="0078598D" w:rsidRDefault="00EE20A4" w:rsidP="00EE20A4">
      <w:pPr>
        <w:pStyle w:val="Quick1"/>
        <w:numPr>
          <w:ilvl w:val="0"/>
          <w:numId w:val="0"/>
        </w:numPr>
        <w:tabs>
          <w:tab w:val="left" w:pos="-1440"/>
        </w:tabs>
        <w:ind w:left="2160" w:hanging="540"/>
        <w:rPr>
          <w:rFonts w:cs="Arial"/>
          <w:szCs w:val="24"/>
          <w:lang w:val="es-419"/>
        </w:rPr>
      </w:pPr>
      <w:r w:rsidRPr="0078598D">
        <w:rPr>
          <w:lang w:val="es-419"/>
        </w:rPr>
        <w:t>a.</w:t>
      </w:r>
      <w:r w:rsidRPr="0078598D">
        <w:rPr>
          <w:lang w:val="es-419"/>
        </w:rPr>
        <w:tab/>
        <w:t xml:space="preserve">Poder identificar la definición de “transacción” en el Código y su importancia (art. 35, 1621 al 1624, 1631 y 1633 del </w:t>
      </w:r>
      <w:bookmarkStart w:id="3" w:name="_Hlk69212966"/>
      <w:r w:rsidRPr="0078598D">
        <w:rPr>
          <w:lang w:val="es-419"/>
        </w:rPr>
        <w:t>Código de Seguros</w:t>
      </w:r>
      <w:r w:rsidR="002A036E">
        <w:rPr>
          <w:lang w:val="es-419"/>
        </w:rPr>
        <w:br/>
      </w:r>
      <w:r w:rsidRPr="0078598D">
        <w:rPr>
          <w:lang w:val="es-419"/>
        </w:rPr>
        <w:t>de California</w:t>
      </w:r>
      <w:bookmarkEnd w:id="3"/>
      <w:r w:rsidRPr="0078598D">
        <w:rPr>
          <w:lang w:val="es-419"/>
        </w:rPr>
        <w:t xml:space="preserve">. </w:t>
      </w:r>
    </w:p>
    <w:p w14:paraId="4EFAE1C0" w14:textId="5DE072AC" w:rsidR="00EE20A4" w:rsidRPr="0078598D" w:rsidRDefault="00EE20A4" w:rsidP="00613D92">
      <w:pPr>
        <w:pStyle w:val="Header"/>
        <w:widowControl/>
        <w:tabs>
          <w:tab w:val="clear" w:pos="4320"/>
          <w:tab w:val="clear" w:pos="8640"/>
          <w:tab w:val="left" w:pos="-1080"/>
          <w:tab w:val="left" w:pos="720"/>
        </w:tabs>
        <w:ind w:left="2160" w:hanging="540"/>
        <w:rPr>
          <w:rFonts w:cs="Arial"/>
          <w:szCs w:val="24"/>
          <w:lang w:val="es-419"/>
        </w:rPr>
      </w:pPr>
      <w:r w:rsidRPr="0078598D">
        <w:rPr>
          <w:lang w:val="es-419"/>
        </w:rPr>
        <w:lastRenderedPageBreak/>
        <w:t>b.</w:t>
      </w:r>
      <w:r w:rsidRPr="0078598D">
        <w:rPr>
          <w:lang w:val="es-419"/>
        </w:rPr>
        <w:tab/>
        <w:t>Poder identificar qué constituye una transacción de seguros, art. 35 del Código de Seguros de California</w:t>
      </w:r>
    </w:p>
    <w:p w14:paraId="09B36416" w14:textId="069C2155" w:rsidR="00EE20A4" w:rsidRPr="0078598D" w:rsidRDefault="00AE4867" w:rsidP="00AE4867">
      <w:pPr>
        <w:pStyle w:val="Header"/>
        <w:widowControl/>
        <w:tabs>
          <w:tab w:val="clear" w:pos="4320"/>
          <w:tab w:val="clear" w:pos="8640"/>
          <w:tab w:val="left" w:pos="-1080"/>
          <w:tab w:val="left" w:pos="2700"/>
        </w:tabs>
        <w:ind w:left="2160"/>
        <w:rPr>
          <w:rFonts w:cs="Arial"/>
          <w:szCs w:val="24"/>
          <w:lang w:val="es-419"/>
        </w:rPr>
      </w:pPr>
      <w:r w:rsidRPr="0078598D">
        <w:rPr>
          <w:lang w:val="es-419"/>
        </w:rPr>
        <w:t>i.</w:t>
      </w:r>
      <w:r w:rsidRPr="0078598D">
        <w:rPr>
          <w:lang w:val="es-419"/>
        </w:rPr>
        <w:tab/>
        <w:t>Oferta de seguros, art 35(a) del Código de Seguros de California</w:t>
      </w:r>
    </w:p>
    <w:p w14:paraId="42135198" w14:textId="51962312" w:rsidR="00EE20A4" w:rsidRPr="0078598D" w:rsidRDefault="00EE20A4" w:rsidP="00EE20A4">
      <w:pPr>
        <w:tabs>
          <w:tab w:val="left" w:pos="-108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Negociación, art. 35(b) del Código de Seguros de California</w:t>
      </w:r>
    </w:p>
    <w:p w14:paraId="7A2E177F" w14:textId="46272509" w:rsidR="00EE20A4" w:rsidRPr="0078598D" w:rsidRDefault="00EE20A4" w:rsidP="00EE20A4">
      <w:pPr>
        <w:tabs>
          <w:tab w:val="left" w:pos="-108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Formalización de un contrato de seguro, art. 35(c) del Código de Seguros de California</w:t>
      </w:r>
    </w:p>
    <w:p w14:paraId="6CA0F5BA" w14:textId="66C49918" w:rsidR="009146BD" w:rsidRPr="0078598D" w:rsidRDefault="00EE20A4" w:rsidP="00452811">
      <w:pPr>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Transacción de asuntos subsecuentes a y derivados de un contrato de seguros, art. 35(d) del Código de Seguros de California</w:t>
      </w:r>
    </w:p>
    <w:p w14:paraId="4BD8EB1A" w14:textId="2EB75C1F" w:rsidR="00EE20A4" w:rsidRPr="0078598D" w:rsidRDefault="009146BD" w:rsidP="007D0A36">
      <w:pPr>
        <w:tabs>
          <w:tab w:val="left" w:pos="-1440"/>
          <w:tab w:val="left" w:pos="2160"/>
          <w:tab w:val="left" w:pos="3150"/>
        </w:tabs>
        <w:ind w:left="2160" w:hanging="540"/>
        <w:rPr>
          <w:rFonts w:cs="Arial"/>
          <w:szCs w:val="24"/>
          <w:lang w:val="es-419"/>
        </w:rPr>
      </w:pPr>
      <w:r w:rsidRPr="0078598D">
        <w:rPr>
          <w:lang w:val="es-419"/>
        </w:rPr>
        <w:t>c.</w:t>
      </w:r>
      <w:r w:rsidRPr="0078598D">
        <w:rPr>
          <w:lang w:val="es-419"/>
        </w:rPr>
        <w:tab/>
        <w:t>Poder identificar:</w:t>
      </w:r>
    </w:p>
    <w:p w14:paraId="5BC02B2C" w14:textId="3A377579" w:rsidR="00EE20A4" w:rsidRPr="0078598D" w:rsidRDefault="00EE20A4" w:rsidP="00EE20A4">
      <w:pPr>
        <w:tabs>
          <w:tab w:val="left" w:pos="-1440"/>
        </w:tabs>
        <w:ind w:left="2700" w:hanging="540"/>
        <w:rPr>
          <w:rFonts w:cs="Arial"/>
          <w:szCs w:val="24"/>
          <w:lang w:val="es-419"/>
        </w:rPr>
      </w:pPr>
      <w:r w:rsidRPr="0078598D">
        <w:rPr>
          <w:lang w:val="es-419"/>
        </w:rPr>
        <w:t>i.</w:t>
      </w:r>
      <w:r w:rsidR="002A036E">
        <w:rPr>
          <w:lang w:val="es-419"/>
        </w:rPr>
        <w:tab/>
      </w:r>
      <w:r w:rsidRPr="0078598D">
        <w:rPr>
          <w:lang w:val="es-419"/>
        </w:rPr>
        <w:t>Que el Código prohíbe ciertas acciones de personas sin licencia, art. 1631 del Código de Seguros de California</w:t>
      </w:r>
    </w:p>
    <w:p w14:paraId="764511F2" w14:textId="0809E252"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Las sanciones por tales acciones prohibidas, art. 1633 del Código de Seguros de California</w:t>
      </w:r>
    </w:p>
    <w:p w14:paraId="52CE5E62" w14:textId="7CA267BD" w:rsidR="00EE20A4" w:rsidRPr="0078598D" w:rsidRDefault="009146BD" w:rsidP="00EE20A4">
      <w:pPr>
        <w:ind w:left="2160" w:hanging="540"/>
        <w:rPr>
          <w:rFonts w:cs="Arial"/>
          <w:szCs w:val="24"/>
          <w:lang w:val="es-419"/>
        </w:rPr>
      </w:pPr>
      <w:r w:rsidRPr="0078598D">
        <w:rPr>
          <w:lang w:val="es-419"/>
        </w:rPr>
        <w:t>d.</w:t>
      </w:r>
      <w:r w:rsidRPr="0078598D">
        <w:rPr>
          <w:lang w:val="es-419"/>
        </w:rPr>
        <w:tab/>
        <w:t>Consentimiento escrito sobre el comercio interestatal (personas prohibidas en seguros):</w:t>
      </w:r>
    </w:p>
    <w:p w14:paraId="5207BDFA" w14:textId="3474E9D8" w:rsidR="00EE20A4" w:rsidRPr="0078598D" w:rsidRDefault="00EE20A4" w:rsidP="00EE20A4">
      <w:pPr>
        <w:ind w:left="2700" w:hanging="540"/>
        <w:rPr>
          <w:rFonts w:cs="Arial"/>
          <w:szCs w:val="24"/>
          <w:lang w:val="es-419"/>
        </w:rPr>
      </w:pPr>
      <w:r w:rsidRPr="0078598D">
        <w:rPr>
          <w:lang w:val="es-419"/>
        </w:rPr>
        <w:t>i.</w:t>
      </w:r>
      <w:r w:rsidRPr="0078598D">
        <w:rPr>
          <w:lang w:val="es-419"/>
        </w:rPr>
        <w:tab/>
        <w:t>Poder identificar las conductas prohibidas según el Título 18 del Código de los Estados Unidos, art. 1033</w:t>
      </w:r>
    </w:p>
    <w:p w14:paraId="0E0FFAA3" w14:textId="2B6A9740" w:rsidR="00EE20A4" w:rsidRPr="0078598D" w:rsidRDefault="00EE20A4" w:rsidP="00EE20A4">
      <w:pPr>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Poder identificar las sanciones civiles y penales aplicables, Título 18, art. 1033 y 1034</w:t>
      </w:r>
    </w:p>
    <w:p w14:paraId="74B43689" w14:textId="33393456" w:rsidR="00EE20A4" w:rsidRPr="0078598D" w:rsidRDefault="009146BD" w:rsidP="00EE20A4">
      <w:pPr>
        <w:tabs>
          <w:tab w:val="left" w:pos="-1440"/>
        </w:tabs>
        <w:ind w:left="2160" w:hanging="540"/>
        <w:rPr>
          <w:rFonts w:cs="Arial"/>
          <w:szCs w:val="24"/>
          <w:lang w:val="es-419"/>
        </w:rPr>
      </w:pPr>
      <w:r w:rsidRPr="0078598D">
        <w:rPr>
          <w:lang w:val="es-419"/>
        </w:rPr>
        <w:t>e.</w:t>
      </w:r>
      <w:r w:rsidRPr="0078598D">
        <w:rPr>
          <w:lang w:val="es-419"/>
        </w:rPr>
        <w:tab/>
        <w:t>Poder identificar las diferencias entre los términos agente y corredor con respecto a su relación con las aseguradoras y sus asegurados:</w:t>
      </w:r>
    </w:p>
    <w:p w14:paraId="409D1078" w14:textId="05F62699"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 xml:space="preserve">Agente de seguros es una persona que, bajo la autorización o en representación de una aseguradora, gestiona toda clase de seguros, excepto </w:t>
      </w:r>
      <w:r w:rsidRPr="0078598D">
        <w:rPr>
          <w:snapToGrid/>
          <w:lang w:val="es-419"/>
        </w:rPr>
        <w:t>seguros de vida, discapacidad o salud, en representación de una compañía de seguros reconocida,</w:t>
      </w:r>
      <w:r w:rsidRPr="0078598D">
        <w:rPr>
          <w:lang w:val="es-419"/>
        </w:rPr>
        <w:t xml:space="preserve"> art. 31 del Código de Seguros de California</w:t>
      </w:r>
    </w:p>
    <w:p w14:paraId="648D983E" w14:textId="2D7F3588"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Corredor de seguros es una persona que, por contraprestación o en representación de otra persona, gestiona otros tipos de seguro que no sean de vida con, pero no en representación de, una aseguradora, art.</w:t>
      </w:r>
      <w:r w:rsidR="002A036E">
        <w:rPr>
          <w:lang w:val="es-419"/>
        </w:rPr>
        <w:t> </w:t>
      </w:r>
      <w:r w:rsidRPr="0078598D">
        <w:rPr>
          <w:lang w:val="es-419"/>
        </w:rPr>
        <w:t>33 del Código de Seguros de California</w:t>
      </w:r>
    </w:p>
    <w:p w14:paraId="27167BC2" w14:textId="4BEACD33" w:rsidR="00EE20A4" w:rsidRPr="0078598D" w:rsidRDefault="00EE20A4" w:rsidP="00EE20A4">
      <w:pPr>
        <w:tabs>
          <w:tab w:val="left" w:pos="-144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 xml:space="preserve">Saber que los seguros de vida y salud los gestionan los agentes y no los corredores  </w:t>
      </w:r>
    </w:p>
    <w:p w14:paraId="24969745" w14:textId="04356F23" w:rsidR="00EE20A4" w:rsidRPr="0078598D" w:rsidRDefault="00EE20A4" w:rsidP="00EE20A4">
      <w:pPr>
        <w:tabs>
          <w:tab w:val="left" w:pos="-1440"/>
        </w:tabs>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Saber que hay corredores de liquidación de seguros de vida, art.</w:t>
      </w:r>
      <w:r w:rsidR="002A036E">
        <w:rPr>
          <w:lang w:val="es-419"/>
        </w:rPr>
        <w:t> </w:t>
      </w:r>
      <w:r w:rsidRPr="0078598D">
        <w:rPr>
          <w:lang w:val="es-419"/>
        </w:rPr>
        <w:t xml:space="preserve">10113.1 al 10113.3 del Código de Seguros de California </w:t>
      </w:r>
    </w:p>
    <w:p w14:paraId="40360B15" w14:textId="2C6C3A79" w:rsidR="00EE20A4" w:rsidRPr="0078598D" w:rsidRDefault="009146BD" w:rsidP="00EE20A4">
      <w:pPr>
        <w:tabs>
          <w:tab w:val="left" w:pos="-1440"/>
        </w:tabs>
        <w:ind w:left="2160" w:hanging="540"/>
        <w:rPr>
          <w:rFonts w:cs="Arial"/>
          <w:szCs w:val="24"/>
          <w:lang w:val="es-419"/>
        </w:rPr>
      </w:pPr>
      <w:r w:rsidRPr="0078598D">
        <w:rPr>
          <w:lang w:val="es-419"/>
        </w:rPr>
        <w:t>f.</w:t>
      </w:r>
      <w:r w:rsidRPr="0078598D">
        <w:rPr>
          <w:lang w:val="es-419"/>
        </w:rPr>
        <w:tab/>
        <w:t>Poder identificar las disposiciones del Código con respecto a un agente de seguros de vida que actúa como agente de una aseguradora, para la cual dicho agente no haya sido específicamente asignado, art. 1704.5 del Código de Seguros de California</w:t>
      </w:r>
    </w:p>
    <w:p w14:paraId="7453F65F" w14:textId="278AFF5F" w:rsidR="00EE20A4" w:rsidRPr="0078598D" w:rsidRDefault="009146BD" w:rsidP="00EE20A4">
      <w:pPr>
        <w:tabs>
          <w:tab w:val="left" w:pos="-1440"/>
        </w:tabs>
        <w:ind w:left="2160" w:hanging="540"/>
        <w:rPr>
          <w:rFonts w:cs="Arial"/>
          <w:szCs w:val="24"/>
          <w:lang w:val="es-419"/>
        </w:rPr>
      </w:pPr>
      <w:r w:rsidRPr="0078598D">
        <w:rPr>
          <w:lang w:val="es-419"/>
        </w:rPr>
        <w:t>g.</w:t>
      </w:r>
      <w:r w:rsidRPr="0078598D">
        <w:rPr>
          <w:lang w:val="es-419"/>
        </w:rPr>
        <w:tab/>
        <w:t>Poder diferenciar entre un agente de seguros, un corredor de seguros</w:t>
      </w:r>
      <w:r w:rsidR="002A036E">
        <w:rPr>
          <w:lang w:val="es-419"/>
        </w:rPr>
        <w:br/>
      </w:r>
      <w:r w:rsidRPr="0078598D">
        <w:rPr>
          <w:lang w:val="es-419"/>
        </w:rPr>
        <w:t>y un asesor de seguros, art. 31, 33, 34, 1621, 1623 y 1624 del Código</w:t>
      </w:r>
      <w:r w:rsidR="002A036E">
        <w:rPr>
          <w:lang w:val="es-419"/>
        </w:rPr>
        <w:br/>
      </w:r>
      <w:r w:rsidRPr="0078598D">
        <w:rPr>
          <w:lang w:val="es-419"/>
        </w:rPr>
        <w:t>de Seguros de California</w:t>
      </w:r>
    </w:p>
    <w:p w14:paraId="541FA13B" w14:textId="1A739A2F" w:rsidR="00EE20A4" w:rsidRPr="0078598D" w:rsidRDefault="009146BD" w:rsidP="00EE20A4">
      <w:pPr>
        <w:tabs>
          <w:tab w:val="left" w:pos="-1440"/>
        </w:tabs>
        <w:ind w:left="2160" w:hanging="540"/>
        <w:rPr>
          <w:rFonts w:cs="Arial"/>
          <w:szCs w:val="24"/>
          <w:lang w:val="es-419"/>
        </w:rPr>
      </w:pPr>
      <w:r w:rsidRPr="0078598D">
        <w:rPr>
          <w:lang w:val="es-419"/>
        </w:rPr>
        <w:lastRenderedPageBreak/>
        <w:t>h.</w:t>
      </w:r>
      <w:r w:rsidRPr="0078598D">
        <w:rPr>
          <w:lang w:val="es-419"/>
        </w:rPr>
        <w:tab/>
        <w:t>En el caso del seguro de errores y omisiones de agentes de seguro, poder identificar:</w:t>
      </w:r>
    </w:p>
    <w:p w14:paraId="5C79450D" w14:textId="0615E0C2" w:rsidR="00EE20A4" w:rsidRPr="0078598D" w:rsidRDefault="00EE20A4" w:rsidP="00EE20A4">
      <w:pPr>
        <w:tabs>
          <w:tab w:val="left" w:pos="-1080"/>
        </w:tabs>
        <w:ind w:left="2700" w:hanging="540"/>
        <w:rPr>
          <w:rFonts w:cs="Arial"/>
          <w:szCs w:val="24"/>
          <w:lang w:val="es-419"/>
        </w:rPr>
      </w:pPr>
      <w:r w:rsidRPr="0078598D">
        <w:rPr>
          <w:lang w:val="es-419"/>
        </w:rPr>
        <w:t>i.</w:t>
      </w:r>
      <w:r w:rsidRPr="0078598D">
        <w:rPr>
          <w:lang w:val="es-419"/>
        </w:rPr>
        <w:tab/>
        <w:t>La necesidad de cobertura</w:t>
      </w:r>
    </w:p>
    <w:p w14:paraId="335ADDCA" w14:textId="39261EF4" w:rsidR="00EE20A4" w:rsidRPr="0078598D" w:rsidRDefault="00EE20A4" w:rsidP="00EE20A4">
      <w:pPr>
        <w:tabs>
          <w:tab w:val="left" w:pos="-108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i/>
          <w:lang w:val="es-419"/>
        </w:rPr>
        <w:tab/>
      </w:r>
      <w:r w:rsidRPr="0078598D">
        <w:rPr>
          <w:lang w:val="es-419"/>
        </w:rPr>
        <w:t>Los tipos de cobertura disponibles</w:t>
      </w:r>
    </w:p>
    <w:p w14:paraId="3FFB4E99" w14:textId="34E8671E" w:rsidR="009404EF" w:rsidRPr="0078598D" w:rsidRDefault="00EE20A4" w:rsidP="00EE20A4">
      <w:pPr>
        <w:tabs>
          <w:tab w:val="left" w:pos="-108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Los tipos de siniestros normalmente cubiertos/no cubiertos.</w:t>
      </w:r>
    </w:p>
    <w:p w14:paraId="2703109C" w14:textId="64427405" w:rsidR="00451E4F" w:rsidRPr="0078598D" w:rsidRDefault="00451E4F" w:rsidP="002A036E">
      <w:pPr>
        <w:tabs>
          <w:tab w:val="left" w:pos="-1080"/>
        </w:tabs>
        <w:ind w:left="2700" w:hanging="540"/>
        <w:rPr>
          <w:rFonts w:cs="Arial"/>
          <w:szCs w:val="24"/>
          <w:lang w:val="es-419"/>
        </w:rPr>
      </w:pPr>
      <w:proofErr w:type="spellStart"/>
      <w:r w:rsidRPr="0078598D">
        <w:rPr>
          <w:lang w:val="es-419"/>
        </w:rPr>
        <w:t>iv</w:t>
      </w:r>
      <w:proofErr w:type="spellEnd"/>
      <w:r w:rsidRPr="0078598D">
        <w:rPr>
          <w:lang w:val="es-419"/>
        </w:rPr>
        <w:t>.</w:t>
      </w:r>
      <w:r w:rsidR="002A036E">
        <w:rPr>
          <w:lang w:val="es-419"/>
        </w:rPr>
        <w:tab/>
      </w:r>
      <w:r w:rsidRPr="0078598D">
        <w:rPr>
          <w:lang w:val="es-419"/>
        </w:rPr>
        <w:t xml:space="preserve">Cómo se aplica el seguro de errores y omisiones </w:t>
      </w:r>
    </w:p>
    <w:p w14:paraId="2A8AA75E" w14:textId="4B43DDAC" w:rsidR="00EE20A4" w:rsidRPr="0078598D" w:rsidRDefault="009146BD" w:rsidP="00EE20A4">
      <w:pPr>
        <w:tabs>
          <w:tab w:val="left" w:pos="-1440"/>
        </w:tabs>
        <w:ind w:left="2160" w:hanging="540"/>
        <w:rPr>
          <w:rFonts w:cs="Arial"/>
          <w:szCs w:val="24"/>
          <w:lang w:val="es-419"/>
        </w:rPr>
      </w:pPr>
      <w:r w:rsidRPr="0078598D">
        <w:rPr>
          <w:lang w:val="es-419"/>
        </w:rPr>
        <w:t>i.</w:t>
      </w:r>
      <w:r w:rsidRPr="0078598D">
        <w:rPr>
          <w:lang w:val="es-419"/>
        </w:rPr>
        <w:tab/>
        <w:t>Poder identificar acciones prohibidas (a menos que sea un corredor de líneas de excedentes) con respecto a aseguradoras no reconocidas, art.</w:t>
      </w:r>
      <w:r w:rsidR="002A036E">
        <w:rPr>
          <w:lang w:val="es-419"/>
        </w:rPr>
        <w:t> </w:t>
      </w:r>
      <w:r w:rsidRPr="0078598D">
        <w:rPr>
          <w:lang w:val="es-419"/>
        </w:rPr>
        <w:t xml:space="preserve">703 del Código de Seguros de California </w:t>
      </w:r>
    </w:p>
    <w:p w14:paraId="24439C0A" w14:textId="49C301C8" w:rsidR="00EE20A4" w:rsidRPr="0078598D" w:rsidRDefault="009146BD" w:rsidP="00EE20A4">
      <w:pPr>
        <w:tabs>
          <w:tab w:val="left" w:pos="-1440"/>
          <w:tab w:val="left" w:pos="720"/>
        </w:tabs>
        <w:ind w:left="2160" w:hanging="540"/>
        <w:rPr>
          <w:rFonts w:cs="Arial"/>
          <w:szCs w:val="24"/>
          <w:lang w:val="es-419"/>
        </w:rPr>
      </w:pPr>
      <w:r w:rsidRPr="0078598D">
        <w:rPr>
          <w:lang w:val="es-419"/>
        </w:rPr>
        <w:t>j.</w:t>
      </w:r>
      <w:r w:rsidRPr="0078598D">
        <w:rPr>
          <w:lang w:val="es-419"/>
        </w:rPr>
        <w:tab/>
        <w:t>Poder identificar las prohibiciones de los seguros gratuitos, art. 777.1</w:t>
      </w:r>
      <w:r w:rsidR="002A036E">
        <w:rPr>
          <w:lang w:val="es-419"/>
        </w:rPr>
        <w:br/>
      </w:r>
      <w:r w:rsidRPr="0078598D">
        <w:rPr>
          <w:lang w:val="es-419"/>
        </w:rPr>
        <w:t xml:space="preserve">del Código de Seguros de California </w:t>
      </w:r>
    </w:p>
    <w:p w14:paraId="50C5EBC5" w14:textId="748ADA20" w:rsidR="00EE20A4" w:rsidRPr="0078598D" w:rsidRDefault="009146BD" w:rsidP="00EE20A4">
      <w:pPr>
        <w:ind w:left="2160" w:hanging="540"/>
        <w:rPr>
          <w:rFonts w:cs="Arial"/>
          <w:szCs w:val="24"/>
          <w:lang w:val="es-419"/>
        </w:rPr>
      </w:pPr>
      <w:r w:rsidRPr="0078598D">
        <w:rPr>
          <w:lang w:val="es-419"/>
        </w:rPr>
        <w:t>k.</w:t>
      </w:r>
      <w:r w:rsidRPr="0078598D">
        <w:rPr>
          <w:lang w:val="es-419"/>
        </w:rPr>
        <w:tab/>
        <w:t>Poder identificar los requisitos del Código en cuanto a lo siguiente:</w:t>
      </w:r>
    </w:p>
    <w:p w14:paraId="53F2D0FD" w14:textId="4BB2CB6B"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Un nombre de agencia, uso del nombre, art. 1724.5 y 1729.5 del Código de Seguros de California</w:t>
      </w:r>
    </w:p>
    <w:p w14:paraId="25484D62" w14:textId="212243EC" w:rsidR="00EE20A4" w:rsidRPr="0078598D" w:rsidRDefault="00EE20A4" w:rsidP="00EE20A4">
      <w:pPr>
        <w:tabs>
          <w:tab w:val="left" w:pos="-1440"/>
        </w:tabs>
        <w:ind w:left="2700" w:hanging="540"/>
        <w:rPr>
          <w:rFonts w:cs="Arial"/>
          <w:b/>
          <w:szCs w:val="24"/>
          <w:u w:val="single"/>
          <w:lang w:val="es-419"/>
        </w:rPr>
      </w:pPr>
      <w:proofErr w:type="spellStart"/>
      <w:r w:rsidRPr="0078598D">
        <w:rPr>
          <w:lang w:val="es-419"/>
        </w:rPr>
        <w:t>ii</w:t>
      </w:r>
      <w:proofErr w:type="spellEnd"/>
      <w:r w:rsidRPr="0078598D">
        <w:rPr>
          <w:lang w:val="es-419"/>
        </w:rPr>
        <w:t>.</w:t>
      </w:r>
      <w:r w:rsidRPr="0078598D">
        <w:rPr>
          <w:lang w:val="es-419"/>
        </w:rPr>
        <w:tab/>
        <w:t xml:space="preserve">Cambio de dirección, art. 1729 del Código de Seguros de California </w:t>
      </w:r>
    </w:p>
    <w:p w14:paraId="61CD696A" w14:textId="01EE471F" w:rsidR="00EE20A4" w:rsidRPr="0078598D" w:rsidRDefault="009146BD" w:rsidP="00EE20A4">
      <w:pPr>
        <w:widowControl/>
        <w:tabs>
          <w:tab w:val="left" w:pos="-1080"/>
        </w:tabs>
        <w:ind w:left="2160" w:hanging="540"/>
        <w:rPr>
          <w:rFonts w:cs="Arial"/>
          <w:szCs w:val="24"/>
          <w:lang w:val="es-419"/>
        </w:rPr>
      </w:pPr>
      <w:r w:rsidRPr="0078598D">
        <w:rPr>
          <w:lang w:val="es-419"/>
        </w:rPr>
        <w:t>l.</w:t>
      </w:r>
      <w:r w:rsidRPr="0078598D">
        <w:rPr>
          <w:lang w:val="es-419"/>
        </w:rPr>
        <w:tab/>
        <w:t xml:space="preserve">Poder identificar las reglas sobre nombres de fantasía, art. 1724.5 del Código de Seguros de California </w:t>
      </w:r>
    </w:p>
    <w:p w14:paraId="2051E5EB" w14:textId="69912C25" w:rsidR="00EE20A4" w:rsidRPr="0078598D" w:rsidRDefault="009146BD" w:rsidP="00EE20A4">
      <w:pPr>
        <w:widowControl/>
        <w:tabs>
          <w:tab w:val="left" w:pos="-1080"/>
        </w:tabs>
        <w:ind w:left="2160" w:hanging="540"/>
        <w:rPr>
          <w:rFonts w:cs="Arial"/>
          <w:szCs w:val="24"/>
          <w:lang w:val="es-419"/>
        </w:rPr>
      </w:pPr>
      <w:r w:rsidRPr="0078598D">
        <w:rPr>
          <w:lang w:val="es-419"/>
        </w:rPr>
        <w:t>m.</w:t>
      </w:r>
      <w:r w:rsidRPr="0078598D">
        <w:rPr>
          <w:lang w:val="es-419"/>
        </w:rPr>
        <w:tab/>
        <w:t xml:space="preserve">Poder identificar las reglas sobre anuncios en Internet, art. 1726(a) del Código de Seguros de California </w:t>
      </w:r>
    </w:p>
    <w:p w14:paraId="00EE3D1F" w14:textId="1369543B" w:rsidR="00EE20A4" w:rsidRPr="0078598D" w:rsidRDefault="009146BD" w:rsidP="00EE20A4">
      <w:pPr>
        <w:pStyle w:val="Quick1"/>
        <w:widowControl/>
        <w:numPr>
          <w:ilvl w:val="0"/>
          <w:numId w:val="0"/>
        </w:numPr>
        <w:tabs>
          <w:tab w:val="left" w:pos="-1080"/>
        </w:tabs>
        <w:ind w:left="2160" w:hanging="540"/>
        <w:rPr>
          <w:rFonts w:cs="Arial"/>
          <w:szCs w:val="24"/>
          <w:lang w:val="es-419"/>
        </w:rPr>
      </w:pPr>
      <w:r w:rsidRPr="0078598D">
        <w:rPr>
          <w:lang w:val="es-419"/>
        </w:rPr>
        <w:t>n.</w:t>
      </w:r>
      <w:r w:rsidRPr="0078598D">
        <w:rPr>
          <w:lang w:val="es-419"/>
        </w:rPr>
        <w:tab/>
        <w:t xml:space="preserve">Poder identificar la responsabilidad que tiene el licenciado de informar la fecha de </w:t>
      </w:r>
      <w:proofErr w:type="gramStart"/>
      <w:r w:rsidRPr="0078598D">
        <w:rPr>
          <w:lang w:val="es-419"/>
        </w:rPr>
        <w:t>entrada en vigencia</w:t>
      </w:r>
      <w:proofErr w:type="gramEnd"/>
      <w:r w:rsidRPr="0078598D">
        <w:rPr>
          <w:lang w:val="es-419"/>
        </w:rPr>
        <w:t xml:space="preserve"> de la cobertura, art. 1730.5 del Código de Seguros de California </w:t>
      </w:r>
    </w:p>
    <w:p w14:paraId="4EAB6C15" w14:textId="43560417" w:rsidR="00952B9F" w:rsidRPr="0078598D" w:rsidRDefault="009146BD" w:rsidP="00EE20A4">
      <w:pPr>
        <w:tabs>
          <w:tab w:val="left" w:pos="-1440"/>
        </w:tabs>
        <w:ind w:left="2160" w:hanging="540"/>
        <w:rPr>
          <w:rFonts w:cs="Arial"/>
          <w:szCs w:val="24"/>
          <w:lang w:val="es-419"/>
        </w:rPr>
      </w:pPr>
      <w:r w:rsidRPr="0078598D">
        <w:rPr>
          <w:lang w:val="es-419"/>
        </w:rPr>
        <w:t>o.</w:t>
      </w:r>
      <w:r w:rsidRPr="0078598D">
        <w:rPr>
          <w:lang w:val="es-419"/>
        </w:rPr>
        <w:tab/>
        <w:t>Poder identificar las especificaciones del Código con respecto a una investigación de solicitud de un asesor, negación de solicitudes y suspensión o revocación de licencias, art. 1666, 1668 al 1669 y 1738</w:t>
      </w:r>
      <w:r w:rsidR="002A036E">
        <w:rPr>
          <w:lang w:val="es-419"/>
        </w:rPr>
        <w:br/>
      </w:r>
      <w:r w:rsidRPr="0078598D">
        <w:rPr>
          <w:lang w:val="es-419"/>
        </w:rPr>
        <w:t>del Código de Seguros de California</w:t>
      </w:r>
    </w:p>
    <w:p w14:paraId="215E46B6" w14:textId="4E8BD4CB" w:rsidR="00EE20A4" w:rsidRPr="002A036E" w:rsidRDefault="009146BD" w:rsidP="00EE20A4">
      <w:pPr>
        <w:tabs>
          <w:tab w:val="left" w:pos="-1440"/>
        </w:tabs>
        <w:ind w:left="2160" w:hanging="540"/>
        <w:rPr>
          <w:rFonts w:cs="Arial"/>
          <w:bCs/>
          <w:szCs w:val="24"/>
          <w:lang w:val="es-419"/>
        </w:rPr>
      </w:pPr>
      <w:r w:rsidRPr="0078598D">
        <w:rPr>
          <w:lang w:val="es-419"/>
        </w:rPr>
        <w:t>p.</w:t>
      </w:r>
      <w:r w:rsidRPr="0078598D">
        <w:rPr>
          <w:lang w:val="es-419"/>
        </w:rPr>
        <w:tab/>
        <w:t>Informe de medidas administrativas y condenas penales, art. 1729.2 del Código de Seguros de California</w:t>
      </w:r>
    </w:p>
    <w:p w14:paraId="38CB7455" w14:textId="6DA1EC6E" w:rsidR="004E3EC5" w:rsidRPr="0078598D" w:rsidRDefault="004E3EC5" w:rsidP="00487697">
      <w:pPr>
        <w:tabs>
          <w:tab w:val="left" w:pos="-1440"/>
        </w:tabs>
        <w:ind w:left="2700" w:hanging="540"/>
        <w:rPr>
          <w:rFonts w:cs="Arial"/>
          <w:szCs w:val="24"/>
          <w:bdr w:val="none" w:sz="0" w:space="0" w:color="auto" w:frame="1"/>
          <w:lang w:val="es-419"/>
        </w:rPr>
      </w:pPr>
      <w:r w:rsidRPr="0078598D">
        <w:rPr>
          <w:lang w:val="es-419"/>
        </w:rPr>
        <w:t>i.</w:t>
      </w:r>
      <w:r w:rsidRPr="0078598D">
        <w:rPr>
          <w:lang w:val="es-419"/>
        </w:rPr>
        <w:tab/>
        <w:t xml:space="preserve">Saber que </w:t>
      </w:r>
      <w:r w:rsidRPr="0078598D">
        <w:rPr>
          <w:bdr w:val="none" w:sz="0" w:space="0" w:color="auto" w:frame="1"/>
          <w:lang w:val="es-419"/>
        </w:rPr>
        <w:t xml:space="preserve">un candidato o licenciado debe notificar al comisionado cuando cambien los antecedentes establecidos en el art. 1729.2 del </w:t>
      </w:r>
      <w:r w:rsidRPr="0078598D">
        <w:rPr>
          <w:lang w:val="es-419"/>
        </w:rPr>
        <w:t>Código de Seguros de California</w:t>
      </w:r>
      <w:r w:rsidRPr="0078598D">
        <w:rPr>
          <w:bdr w:val="none" w:sz="0" w:space="0" w:color="auto" w:frame="1"/>
          <w:lang w:val="es-419"/>
        </w:rPr>
        <w:t xml:space="preserve"> después de que se haya enviado la solicitud o se haya emitido la licencia</w:t>
      </w:r>
    </w:p>
    <w:p w14:paraId="703AADE7" w14:textId="357AFFF9" w:rsidR="007E5495" w:rsidRPr="0078598D" w:rsidRDefault="007E5495" w:rsidP="00487697">
      <w:pPr>
        <w:tabs>
          <w:tab w:val="left" w:pos="-1440"/>
        </w:tabs>
        <w:ind w:left="2700" w:hanging="540"/>
        <w:rPr>
          <w:rFonts w:cs="Arial"/>
          <w:szCs w:val="24"/>
          <w:lang w:val="es-419"/>
        </w:rPr>
      </w:pPr>
      <w:proofErr w:type="spellStart"/>
      <w:r w:rsidRPr="0078598D">
        <w:rPr>
          <w:bdr w:val="none" w:sz="0" w:space="0" w:color="auto" w:frame="1"/>
          <w:lang w:val="es-419"/>
        </w:rPr>
        <w:t>ii</w:t>
      </w:r>
      <w:proofErr w:type="spellEnd"/>
      <w:r w:rsidRPr="0078598D">
        <w:rPr>
          <w:bdr w:val="none" w:sz="0" w:space="0" w:color="auto" w:frame="1"/>
          <w:lang w:val="es-419"/>
        </w:rPr>
        <w:t>.</w:t>
      </w:r>
      <w:r w:rsidRPr="0078598D">
        <w:rPr>
          <w:bdr w:val="none" w:sz="0" w:space="0" w:color="auto" w:frame="1"/>
          <w:lang w:val="es-419"/>
        </w:rPr>
        <w:tab/>
      </w:r>
      <w:r w:rsidRPr="0078598D">
        <w:rPr>
          <w:lang w:val="es-419"/>
        </w:rPr>
        <w:t>Todo cambio en los antecedentes debe informarse en el plazo de 30</w:t>
      </w:r>
      <w:r w:rsidR="002A036E">
        <w:rPr>
          <w:lang w:val="es-419"/>
        </w:rPr>
        <w:t> </w:t>
      </w:r>
      <w:r w:rsidRPr="0078598D">
        <w:rPr>
          <w:lang w:val="es-419"/>
        </w:rPr>
        <w:t>días.</w:t>
      </w:r>
    </w:p>
    <w:p w14:paraId="162E6CA2" w14:textId="4ABAC833" w:rsidR="00EE20A4" w:rsidRPr="0078598D" w:rsidRDefault="009146BD" w:rsidP="00EE20A4">
      <w:pPr>
        <w:tabs>
          <w:tab w:val="left" w:pos="-1440"/>
        </w:tabs>
        <w:ind w:left="2160" w:hanging="540"/>
        <w:rPr>
          <w:rFonts w:cs="Arial"/>
          <w:szCs w:val="24"/>
          <w:lang w:val="es-419"/>
        </w:rPr>
      </w:pPr>
      <w:r w:rsidRPr="0078598D">
        <w:rPr>
          <w:lang w:val="es-419"/>
        </w:rPr>
        <w:t>q.</w:t>
      </w:r>
      <w:r w:rsidRPr="0078598D">
        <w:rPr>
          <w:lang w:val="es-419"/>
        </w:rPr>
        <w:tab/>
        <w:t>Poder identificar la importancia y el alcance del Código con respecto a:</w:t>
      </w:r>
    </w:p>
    <w:p w14:paraId="0E0A441E" w14:textId="166446FD" w:rsidR="00936E8D"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La presentación de un aviso de designación, art. 1704 al 1705 del Código de Seguros de California</w:t>
      </w:r>
    </w:p>
    <w:p w14:paraId="3AE3EE64" w14:textId="5646E5DC"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 xml:space="preserve">Una licencia inactiva, art. 1704(a) del Código de Seguros de California </w:t>
      </w:r>
    </w:p>
    <w:p w14:paraId="553D54B5" w14:textId="7A9F3712" w:rsidR="00936E8D" w:rsidRPr="0078598D" w:rsidRDefault="00EE20A4" w:rsidP="00EE20A4">
      <w:pPr>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La cancelación por parte del licenciatario de una licencia en posesión del licenciatario o del empleador, art. 1708 del Código de Seguros de California</w:t>
      </w:r>
    </w:p>
    <w:p w14:paraId="2CE7908D" w14:textId="78392885" w:rsidR="00EE20A4" w:rsidRPr="0078598D" w:rsidRDefault="009146BD" w:rsidP="00EE20A4">
      <w:pPr>
        <w:tabs>
          <w:tab w:val="left" w:pos="-1440"/>
        </w:tabs>
        <w:ind w:left="2160" w:hanging="540"/>
        <w:rPr>
          <w:rFonts w:cs="Arial"/>
          <w:szCs w:val="24"/>
          <w:lang w:val="es-419"/>
        </w:rPr>
      </w:pPr>
      <w:r w:rsidRPr="0078598D">
        <w:rPr>
          <w:lang w:val="es-419"/>
        </w:rPr>
        <w:lastRenderedPageBreak/>
        <w:t>r.</w:t>
      </w:r>
      <w:r w:rsidRPr="0078598D">
        <w:rPr>
          <w:lang w:val="es-419"/>
        </w:rPr>
        <w:tab/>
        <w:t>Poder identificar el alcance y efecto del Código respecto al vencimiento de la licencia (de un asesor), incluso cuando se disuelve la sociedad, art. 1708 al 1712.5 del Código de Seguros de California</w:t>
      </w:r>
    </w:p>
    <w:p w14:paraId="4AA1412C" w14:textId="43D4789E" w:rsidR="00EE20A4" w:rsidRPr="0078598D" w:rsidRDefault="009146BD" w:rsidP="00EE20A4">
      <w:pPr>
        <w:tabs>
          <w:tab w:val="left" w:pos="-1440"/>
        </w:tabs>
        <w:ind w:left="2160" w:hanging="540"/>
        <w:rPr>
          <w:rFonts w:cs="Arial"/>
          <w:szCs w:val="24"/>
          <w:lang w:val="es-419"/>
        </w:rPr>
      </w:pPr>
      <w:r w:rsidRPr="0078598D">
        <w:rPr>
          <w:lang w:val="es-419"/>
        </w:rPr>
        <w:t>s.</w:t>
      </w:r>
      <w:r w:rsidRPr="0078598D">
        <w:rPr>
          <w:lang w:val="es-419"/>
        </w:rPr>
        <w:tab/>
        <w:t>Poder identificar y aplicar:</w:t>
      </w:r>
    </w:p>
    <w:p w14:paraId="274E078F" w14:textId="0917411D"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La definición del término “fiduciario”</w:t>
      </w:r>
    </w:p>
    <w:p w14:paraId="7784B2DE" w14:textId="0F451737"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Los deberes fiduciarios de los vendedores que se describen en el Código, art. 1733 al 1735 del Código de Seguros de California</w:t>
      </w:r>
    </w:p>
    <w:p w14:paraId="38CED826" w14:textId="5C29A3C4" w:rsidR="00EE20A4" w:rsidRPr="0078598D" w:rsidRDefault="009146BD" w:rsidP="00EE20A4">
      <w:pPr>
        <w:tabs>
          <w:tab w:val="left" w:pos="-1440"/>
        </w:tabs>
        <w:ind w:left="2160" w:hanging="540"/>
        <w:rPr>
          <w:rFonts w:cs="Arial"/>
          <w:szCs w:val="24"/>
          <w:lang w:val="es-419"/>
        </w:rPr>
      </w:pPr>
      <w:r w:rsidRPr="0078598D">
        <w:rPr>
          <w:lang w:val="es-419"/>
        </w:rPr>
        <w:t>t.</w:t>
      </w:r>
      <w:r w:rsidRPr="0078598D">
        <w:rPr>
          <w:lang w:val="es-419"/>
        </w:rPr>
        <w:tab/>
        <w:t>Poder identificar los requisitos de educación continua (</w:t>
      </w:r>
      <w:proofErr w:type="spellStart"/>
      <w:r w:rsidRPr="0078598D">
        <w:rPr>
          <w:lang w:val="es-419"/>
        </w:rPr>
        <w:t>Continuing</w:t>
      </w:r>
      <w:proofErr w:type="spellEnd"/>
      <w:r w:rsidRPr="0078598D">
        <w:rPr>
          <w:lang w:val="es-419"/>
        </w:rPr>
        <w:t xml:space="preserve"> </w:t>
      </w:r>
      <w:proofErr w:type="spellStart"/>
      <w:r w:rsidRPr="0078598D">
        <w:rPr>
          <w:lang w:val="es-419"/>
        </w:rPr>
        <w:t>Education</w:t>
      </w:r>
      <w:proofErr w:type="spellEnd"/>
      <w:r w:rsidRPr="0078598D">
        <w:rPr>
          <w:lang w:val="es-419"/>
        </w:rPr>
        <w:t>, CE) de:</w:t>
      </w:r>
    </w:p>
    <w:p w14:paraId="7246FA0D" w14:textId="37E79D16"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Agentes, art. 1749.3 del Código de Seguros de California</w:t>
      </w:r>
    </w:p>
    <w:p w14:paraId="27F3B32B" w14:textId="5B542DA2"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Un agente que suscribe un seguro de cuidados a largo plazo, art. 10234.93 del Código de Seguros de California</w:t>
      </w:r>
    </w:p>
    <w:p w14:paraId="4B2D4892" w14:textId="39A2F277" w:rsidR="00EE20A4" w:rsidRPr="0078598D" w:rsidRDefault="00EE20A4" w:rsidP="00EE20A4">
      <w:pPr>
        <w:tabs>
          <w:tab w:val="left" w:pos="-144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 xml:space="preserve">Los agentes que suscriben cobertura de California </w:t>
      </w:r>
      <w:proofErr w:type="spellStart"/>
      <w:r w:rsidRPr="0078598D">
        <w:rPr>
          <w:lang w:val="es-419"/>
        </w:rPr>
        <w:t>Partnership</w:t>
      </w:r>
      <w:proofErr w:type="spellEnd"/>
      <w:r w:rsidRPr="0078598D">
        <w:rPr>
          <w:lang w:val="es-419"/>
        </w:rPr>
        <w:t xml:space="preserve"> deben cumplir con los requisitos de cuidados a largo plazo y de capacitación de California en California </w:t>
      </w:r>
      <w:proofErr w:type="spellStart"/>
      <w:r w:rsidRPr="0078598D">
        <w:rPr>
          <w:lang w:val="es-419"/>
        </w:rPr>
        <w:t>Partnership</w:t>
      </w:r>
      <w:proofErr w:type="spellEnd"/>
      <w:r w:rsidRPr="0078598D">
        <w:rPr>
          <w:lang w:val="es-419"/>
        </w:rPr>
        <w:t xml:space="preserve"> </w:t>
      </w:r>
      <w:proofErr w:type="spellStart"/>
      <w:r w:rsidRPr="0078598D">
        <w:rPr>
          <w:lang w:val="es-419"/>
        </w:rPr>
        <w:t>for</w:t>
      </w:r>
      <w:proofErr w:type="spellEnd"/>
      <w:r w:rsidRPr="0078598D">
        <w:rPr>
          <w:lang w:val="es-419"/>
        </w:rPr>
        <w:t xml:space="preserve"> Long-</w:t>
      </w:r>
      <w:proofErr w:type="spellStart"/>
      <w:r w:rsidRPr="0078598D">
        <w:rPr>
          <w:lang w:val="es-419"/>
        </w:rPr>
        <w:t>Term</w:t>
      </w:r>
      <w:proofErr w:type="spellEnd"/>
      <w:r w:rsidRPr="0078598D">
        <w:rPr>
          <w:lang w:val="es-419"/>
        </w:rPr>
        <w:t xml:space="preserve"> Care (el total de horas de CE obligatorias no aumenta según los art. 10234.93(a)(4) del Código de Seguros de California)</w:t>
      </w:r>
    </w:p>
    <w:p w14:paraId="4A06CFF4" w14:textId="3B3C9B78" w:rsidR="00EE20A4" w:rsidRPr="0078598D" w:rsidRDefault="00EE20A4" w:rsidP="00A66B8C">
      <w:pPr>
        <w:tabs>
          <w:tab w:val="left" w:pos="-1440"/>
        </w:tabs>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Los agentes de seguros vida o de accidentes, también licenciados como agentes de seguros inmobiliarios o de seguros de accidentes, deben completar 24 horas de educación continua en cada período de renovación de dos años.</w:t>
      </w:r>
    </w:p>
    <w:p w14:paraId="0264AD25" w14:textId="1F251513" w:rsidR="00EE20A4" w:rsidRPr="0078598D" w:rsidRDefault="009146BD" w:rsidP="00EE20A4">
      <w:pPr>
        <w:tabs>
          <w:tab w:val="left" w:pos="-1440"/>
        </w:tabs>
        <w:ind w:left="2160" w:hanging="540"/>
        <w:rPr>
          <w:rFonts w:cs="Arial"/>
          <w:szCs w:val="24"/>
          <w:lang w:val="es-419"/>
        </w:rPr>
      </w:pPr>
      <w:r w:rsidRPr="0078598D">
        <w:rPr>
          <w:lang w:val="es-419"/>
        </w:rPr>
        <w:t>u.</w:t>
      </w:r>
      <w:r w:rsidRPr="0078598D">
        <w:rPr>
          <w:lang w:val="es-419"/>
        </w:rPr>
        <w:tab/>
        <w:t>Poder identificar, aplicar el significado y dar ejemplos concretos de los siguientes principios éticos:</w:t>
      </w:r>
    </w:p>
    <w:p w14:paraId="6B530E53" w14:textId="233F95DF"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Colocar primero los intereses del cliente</w:t>
      </w:r>
    </w:p>
    <w:p w14:paraId="6C597499" w14:textId="211B3837"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Conocer su trabajo y continuar mejorando su nivel de competencia</w:t>
      </w:r>
    </w:p>
    <w:p w14:paraId="3EDAF875" w14:textId="6F8F78A2" w:rsidR="00EE20A4" w:rsidRPr="0078598D" w:rsidRDefault="00EE20A4" w:rsidP="00EE20A4">
      <w:pPr>
        <w:tabs>
          <w:tab w:val="left" w:pos="-1440"/>
        </w:tabs>
        <w:ind w:left="2700" w:hanging="540"/>
        <w:rPr>
          <w:rFonts w:cs="Arial"/>
          <w:szCs w:val="24"/>
          <w:lang w:val="es-419"/>
        </w:rPr>
      </w:pPr>
      <w:proofErr w:type="spellStart"/>
      <w:r w:rsidRPr="0078598D">
        <w:rPr>
          <w:lang w:val="es-419"/>
        </w:rPr>
        <w:t>iii</w:t>
      </w:r>
      <w:proofErr w:type="spellEnd"/>
      <w:r w:rsidRPr="0078598D">
        <w:rPr>
          <w:lang w:val="es-419"/>
        </w:rPr>
        <w:t>.</w:t>
      </w:r>
      <w:r w:rsidRPr="0078598D">
        <w:rPr>
          <w:lang w:val="es-419"/>
        </w:rPr>
        <w:tab/>
        <w:t>Identificar las necesidades del cliente y recomendar los productos y servicios que las satisfagan</w:t>
      </w:r>
    </w:p>
    <w:p w14:paraId="717A897A" w14:textId="0B3E6F63" w:rsidR="00EE20A4" w:rsidRPr="0078598D" w:rsidRDefault="00EE20A4" w:rsidP="00EE20A4">
      <w:pPr>
        <w:tabs>
          <w:tab w:val="left" w:pos="-1440"/>
        </w:tabs>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Presentar de manera precisa y honesta los productos y servicios</w:t>
      </w:r>
    </w:p>
    <w:p w14:paraId="04F8F985" w14:textId="7E3FC6F9" w:rsidR="00EE20A4" w:rsidRPr="0078598D" w:rsidRDefault="00EE20A4" w:rsidP="00EE20A4">
      <w:pPr>
        <w:tabs>
          <w:tab w:val="left" w:pos="-1440"/>
        </w:tabs>
        <w:ind w:left="2700" w:hanging="540"/>
        <w:rPr>
          <w:rFonts w:cs="Arial"/>
          <w:szCs w:val="24"/>
          <w:lang w:val="es-419"/>
        </w:rPr>
      </w:pPr>
      <w:r w:rsidRPr="0078598D">
        <w:rPr>
          <w:lang w:val="es-419"/>
        </w:rPr>
        <w:t>v.</w:t>
      </w:r>
      <w:r w:rsidRPr="0078598D">
        <w:rPr>
          <w:lang w:val="es-419"/>
        </w:rPr>
        <w:tab/>
        <w:t>Evitar los tecnicismos; usar un lenguaje llano cuando sea posible</w:t>
      </w:r>
    </w:p>
    <w:p w14:paraId="5E8921E1" w14:textId="5263FF7A" w:rsidR="00EE20A4" w:rsidRPr="0078598D" w:rsidRDefault="00EE20A4" w:rsidP="00EE20A4">
      <w:pPr>
        <w:tabs>
          <w:tab w:val="left" w:pos="-1440"/>
        </w:tabs>
        <w:ind w:left="2700" w:hanging="540"/>
        <w:rPr>
          <w:rFonts w:cs="Arial"/>
          <w:szCs w:val="24"/>
          <w:lang w:val="es-419"/>
        </w:rPr>
      </w:pPr>
      <w:r w:rsidRPr="0078598D">
        <w:rPr>
          <w:lang w:val="es-419"/>
        </w:rPr>
        <w:t>vi.</w:t>
      </w:r>
      <w:r w:rsidRPr="0078598D">
        <w:rPr>
          <w:lang w:val="es-419"/>
        </w:rPr>
        <w:tab/>
        <w:t>Mantenerse en contacto con los clientes y revisar las coberturas periódicamente</w:t>
      </w:r>
    </w:p>
    <w:p w14:paraId="4DE5A847" w14:textId="6CA64281" w:rsidR="00EE20A4" w:rsidRPr="0078598D" w:rsidRDefault="00EE20A4" w:rsidP="00EE20A4">
      <w:pPr>
        <w:tabs>
          <w:tab w:val="left" w:pos="-1440"/>
        </w:tabs>
        <w:ind w:left="2700" w:hanging="540"/>
        <w:rPr>
          <w:rFonts w:cs="Arial"/>
          <w:szCs w:val="24"/>
          <w:lang w:val="es-419"/>
        </w:rPr>
      </w:pPr>
      <w:proofErr w:type="spellStart"/>
      <w:r w:rsidRPr="0078598D">
        <w:rPr>
          <w:lang w:val="es-419"/>
        </w:rPr>
        <w:t>vii</w:t>
      </w:r>
      <w:proofErr w:type="spellEnd"/>
      <w:r w:rsidRPr="0078598D">
        <w:rPr>
          <w:lang w:val="es-419"/>
        </w:rPr>
        <w:t>.</w:t>
      </w:r>
      <w:r w:rsidRPr="0078598D">
        <w:rPr>
          <w:lang w:val="es-419"/>
        </w:rPr>
        <w:tab/>
        <w:t>Mantener la confidencialidad y proteger la privacidad de la información de los clientes implementando medidas de seguridad físicas y electrónicas.</w:t>
      </w:r>
    </w:p>
    <w:p w14:paraId="7E758913" w14:textId="039A3288" w:rsidR="00EE20A4" w:rsidRPr="0078598D" w:rsidRDefault="00EE20A4" w:rsidP="007B4A7F">
      <w:pPr>
        <w:tabs>
          <w:tab w:val="left" w:pos="-1440"/>
        </w:tabs>
        <w:ind w:left="2700" w:hanging="540"/>
        <w:rPr>
          <w:rFonts w:cs="Arial"/>
          <w:szCs w:val="24"/>
          <w:lang w:val="es-419"/>
        </w:rPr>
      </w:pPr>
      <w:proofErr w:type="spellStart"/>
      <w:r w:rsidRPr="0078598D">
        <w:rPr>
          <w:lang w:val="es-419"/>
        </w:rPr>
        <w:t>viii</w:t>
      </w:r>
      <w:proofErr w:type="spellEnd"/>
      <w:r w:rsidRPr="0078598D">
        <w:rPr>
          <w:lang w:val="es-419"/>
        </w:rPr>
        <w:t>.</w:t>
      </w:r>
      <w:r w:rsidRPr="0078598D">
        <w:rPr>
          <w:lang w:val="es-419"/>
        </w:rPr>
        <w:tab/>
        <w:t>Mantenerse informado sobre las leyes y regulaciones sobre seguros y obedecerlas</w:t>
      </w:r>
    </w:p>
    <w:p w14:paraId="7E18A392" w14:textId="2350637A" w:rsidR="002A036E" w:rsidRDefault="00EE20A4" w:rsidP="00EE20A4">
      <w:pPr>
        <w:tabs>
          <w:tab w:val="left" w:pos="-1440"/>
        </w:tabs>
        <w:ind w:left="2700" w:hanging="540"/>
        <w:rPr>
          <w:lang w:val="es-419"/>
        </w:rPr>
      </w:pPr>
      <w:r w:rsidRPr="0078598D">
        <w:rPr>
          <w:lang w:val="es-419"/>
        </w:rPr>
        <w:t>x.</w:t>
      </w:r>
      <w:r w:rsidRPr="0078598D">
        <w:rPr>
          <w:lang w:val="es-419"/>
        </w:rPr>
        <w:tab/>
        <w:t>Evitar observaciones imparciales o erróneas acerca de la competencia</w:t>
      </w:r>
    </w:p>
    <w:p w14:paraId="5E050860" w14:textId="77777777" w:rsidR="002A036E" w:rsidRDefault="002A036E">
      <w:pPr>
        <w:widowControl/>
        <w:rPr>
          <w:lang w:val="es-419"/>
        </w:rPr>
      </w:pPr>
      <w:r>
        <w:rPr>
          <w:lang w:val="es-419"/>
        </w:rPr>
        <w:br w:type="page"/>
      </w:r>
    </w:p>
    <w:p w14:paraId="68D394BC" w14:textId="41524F71" w:rsidR="00936E8D" w:rsidRPr="0078598D" w:rsidRDefault="009146BD" w:rsidP="00EE20A4">
      <w:pPr>
        <w:tabs>
          <w:tab w:val="left" w:pos="-1440"/>
        </w:tabs>
        <w:ind w:left="2160" w:hanging="540"/>
        <w:rPr>
          <w:rFonts w:cs="Arial"/>
          <w:szCs w:val="24"/>
          <w:lang w:val="es-419"/>
        </w:rPr>
      </w:pPr>
      <w:r w:rsidRPr="0078598D">
        <w:rPr>
          <w:lang w:val="es-419"/>
        </w:rPr>
        <w:lastRenderedPageBreak/>
        <w:t>v.</w:t>
      </w:r>
      <w:r w:rsidRPr="0078598D">
        <w:rPr>
          <w:lang w:val="es-419"/>
        </w:rPr>
        <w:tab/>
        <w:t>Poder identificar que el Código de Seguros de California y el Código</w:t>
      </w:r>
      <w:r w:rsidR="002A036E">
        <w:rPr>
          <w:lang w:val="es-419"/>
        </w:rPr>
        <w:t xml:space="preserve"> </w:t>
      </w:r>
      <w:r w:rsidRPr="0078598D">
        <w:rPr>
          <w:lang w:val="es-419"/>
        </w:rPr>
        <w:t>de Regulaciones de California señalan muchas prácticas no éticas o ilegales, pero que estas NO se consideran una guía completa para el comportamiento ético (por ejemplo: art. 785 del Código de Seguros de California)</w:t>
      </w:r>
    </w:p>
    <w:p w14:paraId="17FDD288" w14:textId="0DBE7034" w:rsidR="00921993" w:rsidRPr="0078598D" w:rsidRDefault="009146BD" w:rsidP="00921993">
      <w:pPr>
        <w:tabs>
          <w:tab w:val="left" w:pos="-1440"/>
        </w:tabs>
        <w:ind w:left="2160" w:hanging="540"/>
        <w:rPr>
          <w:rFonts w:cs="Arial"/>
          <w:szCs w:val="24"/>
          <w:lang w:val="es-419"/>
        </w:rPr>
      </w:pPr>
      <w:r w:rsidRPr="0078598D">
        <w:rPr>
          <w:lang w:val="es-419"/>
        </w:rPr>
        <w:t>w.</w:t>
      </w:r>
      <w:r w:rsidRPr="0078598D">
        <w:rPr>
          <w:lang w:val="es-419"/>
        </w:rPr>
        <w:tab/>
        <w:t>Poder presentar ejemplos de diferentes tipos de dilemas éticos que los licenciatarios podrían enfrentar.</w:t>
      </w:r>
    </w:p>
    <w:p w14:paraId="7F8263E6" w14:textId="5DE33FAC" w:rsidR="00EE20A4" w:rsidRPr="0078598D" w:rsidRDefault="00DD6278" w:rsidP="00EE20A4">
      <w:pPr>
        <w:tabs>
          <w:tab w:val="left" w:pos="-1440"/>
        </w:tabs>
        <w:ind w:left="2160" w:hanging="540"/>
        <w:rPr>
          <w:rFonts w:cs="Arial"/>
          <w:szCs w:val="24"/>
          <w:lang w:val="es-419"/>
        </w:rPr>
      </w:pPr>
      <w:r w:rsidRPr="0078598D">
        <w:rPr>
          <w:lang w:val="es-419"/>
        </w:rPr>
        <w:t>x.</w:t>
      </w:r>
      <w:r w:rsidRPr="0078598D">
        <w:rPr>
          <w:lang w:val="es-419"/>
        </w:rPr>
        <w:tab/>
        <w:t>Poder identificar preocupaciones éticas especiales que pueden ocurrir con respecto a las entrevistas pretexto (</w:t>
      </w:r>
      <w:proofErr w:type="spellStart"/>
      <w:r w:rsidRPr="0078598D">
        <w:rPr>
          <w:lang w:val="es-419"/>
        </w:rPr>
        <w:t>pretext</w:t>
      </w:r>
      <w:proofErr w:type="spellEnd"/>
      <w:r w:rsidRPr="0078598D">
        <w:rPr>
          <w:lang w:val="es-419"/>
        </w:rPr>
        <w:t xml:space="preserve"> interviews), art. 791.03 del Código de Seguros de California </w:t>
      </w:r>
    </w:p>
    <w:p w14:paraId="44499D12" w14:textId="77777777" w:rsidR="00EE20A4" w:rsidRPr="0078598D" w:rsidRDefault="00EE20A4" w:rsidP="00EE20A4">
      <w:pPr>
        <w:ind w:left="540" w:hanging="540"/>
        <w:rPr>
          <w:rFonts w:cs="Arial"/>
          <w:szCs w:val="24"/>
          <w:lang w:val="es-419"/>
        </w:rPr>
      </w:pPr>
      <w:r w:rsidRPr="0078598D">
        <w:rPr>
          <w:lang w:val="es-419"/>
        </w:rPr>
        <w:t xml:space="preserve">I. </w:t>
      </w:r>
      <w:r w:rsidRPr="0078598D">
        <w:rPr>
          <w:lang w:val="es-419"/>
        </w:rPr>
        <w:tab/>
        <w:t>Seguro general</w:t>
      </w:r>
    </w:p>
    <w:p w14:paraId="571B8378" w14:textId="77777777" w:rsidR="00EE20A4" w:rsidRPr="0078598D" w:rsidRDefault="00EE20A4" w:rsidP="00EE20A4">
      <w:pPr>
        <w:ind w:left="1080" w:hanging="540"/>
        <w:rPr>
          <w:rFonts w:cs="Arial"/>
          <w:szCs w:val="24"/>
          <w:lang w:val="es-419"/>
        </w:rPr>
      </w:pPr>
      <w:r w:rsidRPr="0078598D">
        <w:rPr>
          <w:lang w:val="es-419"/>
        </w:rPr>
        <w:t>C.</w:t>
      </w:r>
      <w:r w:rsidRPr="0078598D">
        <w:rPr>
          <w:lang w:val="es-419"/>
        </w:rPr>
        <w:tab/>
        <w:t>El mercado de seguros</w:t>
      </w:r>
    </w:p>
    <w:p w14:paraId="558F7AD1" w14:textId="77777777" w:rsidR="00EE20A4" w:rsidRPr="0078598D" w:rsidRDefault="00EE20A4" w:rsidP="00EE20A4">
      <w:pPr>
        <w:ind w:left="1620" w:hanging="540"/>
        <w:rPr>
          <w:rFonts w:cs="Arial"/>
          <w:szCs w:val="24"/>
          <w:lang w:val="es-419"/>
        </w:rPr>
      </w:pPr>
      <w:r w:rsidRPr="0078598D">
        <w:rPr>
          <w:lang w:val="es-419"/>
        </w:rPr>
        <w:t>3.</w:t>
      </w:r>
      <w:r w:rsidRPr="0078598D">
        <w:rPr>
          <w:lang w:val="es-419"/>
        </w:rPr>
        <w:tab/>
        <w:t>Aseguradoras</w:t>
      </w:r>
    </w:p>
    <w:p w14:paraId="7C67972A" w14:textId="720E9FF1" w:rsidR="00EE20A4" w:rsidRPr="0078598D" w:rsidRDefault="00EE20A4" w:rsidP="00EE20A4">
      <w:pPr>
        <w:tabs>
          <w:tab w:val="left" w:pos="-1440"/>
        </w:tabs>
        <w:ind w:left="2160" w:hanging="540"/>
        <w:rPr>
          <w:rFonts w:cs="Arial"/>
          <w:szCs w:val="24"/>
          <w:lang w:val="es-419"/>
        </w:rPr>
      </w:pPr>
      <w:r w:rsidRPr="0078598D">
        <w:rPr>
          <w:lang w:val="es-419"/>
        </w:rPr>
        <w:t>a.</w:t>
      </w:r>
      <w:r w:rsidRPr="0078598D">
        <w:rPr>
          <w:lang w:val="es-419"/>
        </w:rPr>
        <w:tab/>
        <w:t>Poder diferenciar entre:</w:t>
      </w:r>
    </w:p>
    <w:p w14:paraId="2D1F0E09" w14:textId="71ED6CA0"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 xml:space="preserve">Una aseguradora reconocida y una no reconocida, art. 24 al 25 del Código de Seguros de California </w:t>
      </w:r>
    </w:p>
    <w:p w14:paraId="1B6A38C7" w14:textId="71213653" w:rsidR="00EE20A4" w:rsidRPr="0078598D" w:rsidRDefault="00EE20A4" w:rsidP="00EE20A4">
      <w:pPr>
        <w:tabs>
          <w:tab w:val="left" w:pos="-144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Aseguradoras nacionales, extranjeras y foráneas, art. 26 al 27 y 1580 del Código de Seguros de California</w:t>
      </w:r>
    </w:p>
    <w:p w14:paraId="5510E509" w14:textId="412CF246" w:rsidR="00EE20A4" w:rsidRPr="0078598D" w:rsidRDefault="00EE20A4" w:rsidP="00EE20A4">
      <w:pPr>
        <w:widowControl/>
        <w:tabs>
          <w:tab w:val="left" w:pos="-1080"/>
        </w:tabs>
        <w:ind w:left="2160" w:hanging="540"/>
        <w:rPr>
          <w:rFonts w:cs="Arial"/>
          <w:szCs w:val="24"/>
          <w:lang w:val="es-419"/>
        </w:rPr>
      </w:pPr>
      <w:r w:rsidRPr="0078598D">
        <w:rPr>
          <w:lang w:val="es-419"/>
        </w:rPr>
        <w:t>b.</w:t>
      </w:r>
      <w:r w:rsidRPr="0078598D">
        <w:rPr>
          <w:lang w:val="es-419"/>
        </w:rPr>
        <w:tab/>
        <w:t>Poder diferenciar entre la regulación de aseguradoras reconocidas y no reconocidas, y las consecuencias potenciales para los clientes, art. 24, 25</w:t>
      </w:r>
      <w:r w:rsidR="002A036E">
        <w:rPr>
          <w:lang w:val="es-419"/>
        </w:rPr>
        <w:br/>
      </w:r>
      <w:r w:rsidRPr="0078598D">
        <w:rPr>
          <w:lang w:val="es-419"/>
        </w:rPr>
        <w:t>y 1760 al 1780 del Código de Seguros de California</w:t>
      </w:r>
    </w:p>
    <w:p w14:paraId="042F73B3" w14:textId="54E5496A" w:rsidR="00EE20A4" w:rsidRPr="0078598D" w:rsidRDefault="00EE20A4" w:rsidP="00EE20A4">
      <w:pPr>
        <w:pStyle w:val="Quick1"/>
        <w:numPr>
          <w:ilvl w:val="0"/>
          <w:numId w:val="0"/>
        </w:numPr>
        <w:ind w:left="2160" w:hanging="540"/>
        <w:rPr>
          <w:rFonts w:cs="Arial"/>
          <w:szCs w:val="24"/>
          <w:lang w:val="es-419"/>
        </w:rPr>
      </w:pPr>
      <w:r w:rsidRPr="0078598D">
        <w:rPr>
          <w:lang w:val="es-419"/>
        </w:rPr>
        <w:t>c.</w:t>
      </w:r>
      <w:r w:rsidRPr="0078598D">
        <w:rPr>
          <w:lang w:val="es-419"/>
        </w:rPr>
        <w:tab/>
        <w:t xml:space="preserve">Poder identificar la sanción por acciones ilegales como agente de un asegurador o corredor no reconocido o ayudar a un asegurador no reconocido a realizar transacciones comerciales de seguros en este estado para un asegurado del estado de residencia como se define en el art. 1760.1 (f) del Código de Seguros de California  </w:t>
      </w:r>
    </w:p>
    <w:p w14:paraId="2B763CF2" w14:textId="7B3E532D" w:rsidR="00EE20A4" w:rsidRPr="0078598D" w:rsidRDefault="00EE20A4" w:rsidP="00EE20A4">
      <w:pPr>
        <w:tabs>
          <w:tab w:val="left" w:pos="-1440"/>
          <w:tab w:val="left" w:pos="720"/>
        </w:tabs>
        <w:ind w:left="2160" w:hanging="540"/>
        <w:rPr>
          <w:rFonts w:cs="Arial"/>
          <w:szCs w:val="24"/>
          <w:lang w:val="es-419"/>
        </w:rPr>
      </w:pPr>
      <w:r w:rsidRPr="0078598D">
        <w:rPr>
          <w:lang w:val="es-419"/>
        </w:rPr>
        <w:t>d.</w:t>
      </w:r>
      <w:r w:rsidRPr="0078598D">
        <w:rPr>
          <w:lang w:val="es-419"/>
        </w:rPr>
        <w:tab/>
        <w:t xml:space="preserve">Poder identificar quién puede ser una aseguradora y entender la definición de “persona”, art. 19 y 150 del Código de Seguros de California </w:t>
      </w:r>
    </w:p>
    <w:p w14:paraId="720CDC1D" w14:textId="2109E63A" w:rsidR="00EE20A4" w:rsidRPr="0078598D" w:rsidRDefault="00EE20A4" w:rsidP="00EE20A4">
      <w:pPr>
        <w:tabs>
          <w:tab w:val="left" w:pos="-1440"/>
        </w:tabs>
        <w:ind w:left="2160" w:hanging="540"/>
        <w:rPr>
          <w:rFonts w:cs="Arial"/>
          <w:szCs w:val="24"/>
          <w:lang w:val="es-419"/>
        </w:rPr>
      </w:pPr>
      <w:r w:rsidRPr="0078598D">
        <w:rPr>
          <w:lang w:val="es-419"/>
        </w:rPr>
        <w:t>e.</w:t>
      </w:r>
      <w:r w:rsidRPr="0078598D">
        <w:rPr>
          <w:lang w:val="es-419"/>
        </w:rPr>
        <w:tab/>
        <w:t>Poder diferenciar entre aseguradoras mutualistas, por acciones y fraternales</w:t>
      </w:r>
    </w:p>
    <w:p w14:paraId="72653A52" w14:textId="5B6DF04A" w:rsidR="00EE20A4" w:rsidRPr="0078598D" w:rsidRDefault="00EE20A4" w:rsidP="00EE20A4">
      <w:pPr>
        <w:tabs>
          <w:tab w:val="left" w:pos="-1440"/>
        </w:tabs>
        <w:ind w:left="2700" w:hanging="540"/>
        <w:rPr>
          <w:rFonts w:cs="Arial"/>
          <w:szCs w:val="24"/>
          <w:lang w:val="es-419"/>
        </w:rPr>
      </w:pPr>
      <w:r w:rsidRPr="0078598D">
        <w:rPr>
          <w:lang w:val="es-419"/>
        </w:rPr>
        <w:t>i.</w:t>
      </w:r>
      <w:r w:rsidRPr="0078598D">
        <w:rPr>
          <w:lang w:val="es-419"/>
        </w:rPr>
        <w:tab/>
        <w:t xml:space="preserve">Saber que la </w:t>
      </w:r>
      <w:proofErr w:type="spellStart"/>
      <w:r w:rsidRPr="0078598D">
        <w:rPr>
          <w:lang w:val="es-419"/>
        </w:rPr>
        <w:t>desmutualización</w:t>
      </w:r>
      <w:proofErr w:type="spellEnd"/>
      <w:r w:rsidRPr="0078598D">
        <w:rPr>
          <w:lang w:val="es-419"/>
        </w:rPr>
        <w:t xml:space="preserve"> es un proceso a través del cual una aseguradora mutualista se convierte en una compañía por acciones</w:t>
      </w:r>
    </w:p>
    <w:p w14:paraId="307B4A4F" w14:textId="77777777" w:rsidR="00EE20A4" w:rsidRPr="0078598D" w:rsidRDefault="00EE20A4" w:rsidP="00EE20A4">
      <w:pPr>
        <w:tabs>
          <w:tab w:val="left" w:pos="-1440"/>
        </w:tabs>
        <w:ind w:left="540" w:hanging="540"/>
        <w:rPr>
          <w:rFonts w:cs="Arial"/>
          <w:szCs w:val="24"/>
          <w:lang w:val="es-419"/>
        </w:rPr>
      </w:pPr>
    </w:p>
    <w:p w14:paraId="04DE8F8C" w14:textId="77777777" w:rsidR="00EE20A4" w:rsidRPr="0078598D" w:rsidRDefault="00EE20A4" w:rsidP="00EE20A4">
      <w:pPr>
        <w:ind w:left="540" w:hanging="540"/>
        <w:rPr>
          <w:rFonts w:cs="Arial"/>
          <w:szCs w:val="24"/>
          <w:lang w:val="es-419"/>
        </w:rPr>
      </w:pPr>
      <w:r w:rsidRPr="0078598D">
        <w:rPr>
          <w:lang w:val="es-419"/>
        </w:rPr>
        <w:t>I.</w:t>
      </w:r>
      <w:r w:rsidRPr="0078598D">
        <w:rPr>
          <w:lang w:val="es-419"/>
        </w:rPr>
        <w:tab/>
        <w:t>Seguro general</w:t>
      </w:r>
    </w:p>
    <w:p w14:paraId="69358EFA" w14:textId="77777777" w:rsidR="00EE20A4" w:rsidRPr="0078598D" w:rsidRDefault="00EE20A4" w:rsidP="00EE20A4">
      <w:pPr>
        <w:tabs>
          <w:tab w:val="left" w:pos="-1440"/>
          <w:tab w:val="left" w:pos="1080"/>
        </w:tabs>
        <w:ind w:left="1080" w:hanging="540"/>
        <w:rPr>
          <w:rFonts w:cs="Arial"/>
          <w:szCs w:val="24"/>
          <w:lang w:val="es-419"/>
        </w:rPr>
      </w:pPr>
      <w:r w:rsidRPr="0078598D">
        <w:rPr>
          <w:lang w:val="es-419"/>
        </w:rPr>
        <w:t>C.</w:t>
      </w:r>
      <w:r w:rsidRPr="0078598D">
        <w:rPr>
          <w:lang w:val="es-419"/>
        </w:rPr>
        <w:tab/>
        <w:t>El mercado de seguros</w:t>
      </w:r>
    </w:p>
    <w:p w14:paraId="46BAF199" w14:textId="55D97210" w:rsidR="00EE20A4" w:rsidRPr="0078598D" w:rsidRDefault="00EE20A4" w:rsidP="00EE20A4">
      <w:pPr>
        <w:tabs>
          <w:tab w:val="left" w:pos="-1440"/>
          <w:tab w:val="left" w:pos="1620"/>
        </w:tabs>
        <w:ind w:left="1620" w:hanging="540"/>
        <w:rPr>
          <w:rFonts w:cs="Arial"/>
          <w:szCs w:val="24"/>
          <w:lang w:val="es-419"/>
        </w:rPr>
      </w:pPr>
      <w:r w:rsidRPr="0078598D">
        <w:rPr>
          <w:lang w:val="es-419"/>
        </w:rPr>
        <w:t>4.</w:t>
      </w:r>
      <w:r w:rsidRPr="0078598D">
        <w:rPr>
          <w:lang w:val="es-419"/>
        </w:rPr>
        <w:tab/>
        <w:t>Regulación del mercado: generalidades</w:t>
      </w:r>
    </w:p>
    <w:p w14:paraId="0CD36030" w14:textId="13D202BC" w:rsidR="00EE20A4" w:rsidRPr="0078598D" w:rsidRDefault="00EE20A4" w:rsidP="00EE20A4">
      <w:pPr>
        <w:pStyle w:val="Quick1"/>
        <w:numPr>
          <w:ilvl w:val="0"/>
          <w:numId w:val="19"/>
        </w:numPr>
        <w:tabs>
          <w:tab w:val="left" w:pos="-1440"/>
          <w:tab w:val="left" w:pos="2160"/>
        </w:tabs>
        <w:ind w:left="2160" w:hanging="540"/>
        <w:rPr>
          <w:rFonts w:cs="Arial"/>
          <w:szCs w:val="24"/>
          <w:lang w:val="es-419"/>
        </w:rPr>
      </w:pPr>
      <w:r w:rsidRPr="0078598D">
        <w:rPr>
          <w:lang w:val="es-419"/>
        </w:rPr>
        <w:t>Poder identificar:</w:t>
      </w:r>
    </w:p>
    <w:p w14:paraId="241DD09B" w14:textId="077A22AA" w:rsidR="00EE20A4" w:rsidRPr="0078598D" w:rsidRDefault="00EE20A4" w:rsidP="00EE20A4">
      <w:pPr>
        <w:tabs>
          <w:tab w:val="left" w:pos="-1440"/>
          <w:tab w:val="left" w:pos="2700"/>
        </w:tabs>
        <w:ind w:left="2700" w:right="-180" w:hanging="540"/>
        <w:rPr>
          <w:rFonts w:cs="Arial"/>
          <w:szCs w:val="24"/>
          <w:lang w:val="es-419"/>
        </w:rPr>
      </w:pPr>
      <w:r w:rsidRPr="0078598D">
        <w:rPr>
          <w:lang w:val="es-419"/>
        </w:rPr>
        <w:t>i.</w:t>
      </w:r>
      <w:r w:rsidRPr="0078598D">
        <w:rPr>
          <w:lang w:val="es-419"/>
        </w:rPr>
        <w:tab/>
        <w:t>El Código de Seguros de California y cómo puede ser modificado</w:t>
      </w:r>
    </w:p>
    <w:p w14:paraId="26D88282" w14:textId="012974E4" w:rsidR="002A036E" w:rsidRDefault="00EE20A4" w:rsidP="00EE20A4">
      <w:pPr>
        <w:pStyle w:val="Quick1"/>
        <w:numPr>
          <w:ilvl w:val="0"/>
          <w:numId w:val="0"/>
        </w:numPr>
        <w:tabs>
          <w:tab w:val="left" w:pos="-1440"/>
          <w:tab w:val="left" w:pos="2700"/>
        </w:tabs>
        <w:ind w:left="2700" w:hanging="540"/>
        <w:rPr>
          <w:lang w:val="es-419"/>
        </w:rPr>
      </w:pPr>
      <w:proofErr w:type="spellStart"/>
      <w:r w:rsidRPr="0078598D">
        <w:rPr>
          <w:lang w:val="es-419"/>
        </w:rPr>
        <w:t>ii</w:t>
      </w:r>
      <w:proofErr w:type="spellEnd"/>
      <w:r w:rsidRPr="0078598D">
        <w:rPr>
          <w:lang w:val="es-419"/>
        </w:rPr>
        <w:t>.</w:t>
      </w:r>
      <w:r w:rsidRPr="0078598D">
        <w:rPr>
          <w:lang w:val="es-419"/>
        </w:rPr>
        <w:tab/>
        <w:t>El Código de Regulaciones de California (título 10 del Código de Regulaciones, capítulo 5) y cómo puede ser modificado</w:t>
      </w:r>
    </w:p>
    <w:p w14:paraId="2E760467" w14:textId="77777777" w:rsidR="002A036E" w:rsidRDefault="002A036E">
      <w:pPr>
        <w:widowControl/>
        <w:rPr>
          <w:lang w:val="es-419"/>
        </w:rPr>
      </w:pPr>
      <w:r>
        <w:rPr>
          <w:lang w:val="es-419"/>
        </w:rPr>
        <w:br w:type="page"/>
      </w:r>
    </w:p>
    <w:p w14:paraId="5B13718B" w14:textId="0306440D" w:rsidR="00EE20A4" w:rsidRPr="0078598D" w:rsidRDefault="004F016A" w:rsidP="00EE20A4">
      <w:pPr>
        <w:pStyle w:val="Quick1"/>
        <w:numPr>
          <w:ilvl w:val="0"/>
          <w:numId w:val="0"/>
        </w:numPr>
        <w:tabs>
          <w:tab w:val="left" w:pos="-1440"/>
          <w:tab w:val="left" w:pos="2700"/>
        </w:tabs>
        <w:ind w:left="2700" w:hanging="540"/>
        <w:rPr>
          <w:rFonts w:cs="Arial"/>
          <w:szCs w:val="24"/>
          <w:lang w:val="es-419"/>
        </w:rPr>
      </w:pPr>
      <w:proofErr w:type="spellStart"/>
      <w:r w:rsidRPr="0078598D">
        <w:rPr>
          <w:lang w:val="es-419"/>
        </w:rPr>
        <w:lastRenderedPageBreak/>
        <w:t>iii</w:t>
      </w:r>
      <w:proofErr w:type="spellEnd"/>
      <w:r w:rsidRPr="0078598D">
        <w:rPr>
          <w:lang w:val="es-419"/>
        </w:rPr>
        <w:t>.</w:t>
      </w:r>
      <w:r w:rsidRPr="0078598D">
        <w:rPr>
          <w:lang w:val="es-419"/>
        </w:rPr>
        <w:tab/>
        <w:t>Cómo se elige al comisionado de seguros y las responsabilidades del cargo, art. 12900 y 12921 del Código de Seguros de California</w:t>
      </w:r>
    </w:p>
    <w:p w14:paraId="13F7C3CE" w14:textId="7ABF9A98" w:rsidR="00EE20A4" w:rsidRPr="0078598D" w:rsidRDefault="00EE20A4" w:rsidP="00D114C2">
      <w:pPr>
        <w:pStyle w:val="Quick1"/>
        <w:numPr>
          <w:ilvl w:val="0"/>
          <w:numId w:val="19"/>
        </w:numPr>
        <w:tabs>
          <w:tab w:val="left" w:pos="-1440"/>
          <w:tab w:val="left" w:pos="2160"/>
        </w:tabs>
        <w:ind w:left="2160" w:hanging="540"/>
        <w:rPr>
          <w:rFonts w:cs="Arial"/>
          <w:szCs w:val="24"/>
          <w:lang w:val="es-419"/>
        </w:rPr>
      </w:pPr>
      <w:r w:rsidRPr="0078598D">
        <w:rPr>
          <w:lang w:val="es-419"/>
        </w:rPr>
        <w:t xml:space="preserve">Poder identificar la aplicación correcta del artículo de Prácticas injustas, incluyendo sus prohibiciones y sanciones, art. 790 al 790.15 del Código de Seguros de California </w:t>
      </w:r>
    </w:p>
    <w:p w14:paraId="231F754D" w14:textId="008C0436" w:rsidR="00D114C2" w:rsidRPr="0078598D" w:rsidRDefault="00D114C2" w:rsidP="00D114C2">
      <w:pPr>
        <w:pStyle w:val="Quick1"/>
        <w:numPr>
          <w:ilvl w:val="0"/>
          <w:numId w:val="19"/>
        </w:numPr>
        <w:tabs>
          <w:tab w:val="left" w:pos="-1440"/>
          <w:tab w:val="left" w:pos="2160"/>
        </w:tabs>
        <w:ind w:left="2160" w:hanging="540"/>
        <w:rPr>
          <w:rFonts w:cs="Arial"/>
          <w:szCs w:val="24"/>
          <w:lang w:val="es-419"/>
        </w:rPr>
      </w:pPr>
      <w:r w:rsidRPr="0078598D">
        <w:rPr>
          <w:lang w:val="es-419"/>
        </w:rPr>
        <w:t>Poder identificar las disposiciones de protección de la privacidad de:</w:t>
      </w:r>
    </w:p>
    <w:p w14:paraId="08E3DF0C" w14:textId="4843F259" w:rsidR="00EE20A4" w:rsidRPr="0078598D" w:rsidRDefault="00EE20A4" w:rsidP="00EE20A4">
      <w:pPr>
        <w:tabs>
          <w:tab w:val="left" w:pos="2700"/>
        </w:tabs>
        <w:ind w:left="2700" w:hanging="540"/>
        <w:rPr>
          <w:rFonts w:cs="Arial"/>
          <w:szCs w:val="24"/>
          <w:lang w:val="es-419"/>
        </w:rPr>
      </w:pPr>
      <w:r w:rsidRPr="0078598D">
        <w:rPr>
          <w:lang w:val="es-419"/>
        </w:rPr>
        <w:t>i.</w:t>
      </w:r>
      <w:r w:rsidRPr="0078598D">
        <w:rPr>
          <w:lang w:val="es-419"/>
        </w:rPr>
        <w:tab/>
        <w:t xml:space="preserve">La Ley de Privacidad de la Información Financiera de California, art. 4050 al 4060 del Código Financiero de California </w:t>
      </w:r>
    </w:p>
    <w:p w14:paraId="28F07B32" w14:textId="5F2DF817" w:rsidR="00EE20A4" w:rsidRPr="0078598D" w:rsidRDefault="004F016A" w:rsidP="00EE20A4">
      <w:pPr>
        <w:tabs>
          <w:tab w:val="left" w:pos="2700"/>
        </w:tabs>
        <w:ind w:left="2700" w:hanging="540"/>
        <w:rPr>
          <w:rFonts w:cs="Arial"/>
          <w:szCs w:val="24"/>
          <w:lang w:val="es-419"/>
        </w:rPr>
      </w:pPr>
      <w:proofErr w:type="spellStart"/>
      <w:r w:rsidRPr="0078598D">
        <w:rPr>
          <w:lang w:val="es-419"/>
        </w:rPr>
        <w:t>ii</w:t>
      </w:r>
      <w:proofErr w:type="spellEnd"/>
      <w:r w:rsidRPr="0078598D">
        <w:rPr>
          <w:lang w:val="es-419"/>
        </w:rPr>
        <w:t>.</w:t>
      </w:r>
      <w:r w:rsidRPr="0078598D">
        <w:rPr>
          <w:lang w:val="es-419"/>
        </w:rPr>
        <w:tab/>
        <w:t>Ley de Protección de la Información y la Privacidad de los Seguros sobre las prácticas, prohibiciones y sanciones, art. 791 al 791.29 del Código de Seguros de California</w:t>
      </w:r>
    </w:p>
    <w:p w14:paraId="2CB2EA9B" w14:textId="168A3E92" w:rsidR="00A23659" w:rsidRPr="0078598D" w:rsidRDefault="00A23659" w:rsidP="00A23659">
      <w:pPr>
        <w:tabs>
          <w:tab w:val="left" w:pos="2700"/>
        </w:tabs>
        <w:ind w:left="2700" w:hanging="540"/>
        <w:rPr>
          <w:rFonts w:cs="Arial"/>
          <w:szCs w:val="24"/>
          <w:lang w:val="es-419"/>
        </w:rPr>
      </w:pPr>
      <w:proofErr w:type="spellStart"/>
      <w:r w:rsidRPr="0078598D">
        <w:rPr>
          <w:lang w:val="es-419"/>
        </w:rPr>
        <w:t>iii</w:t>
      </w:r>
      <w:proofErr w:type="spellEnd"/>
      <w:r w:rsidRPr="0078598D">
        <w:rPr>
          <w:lang w:val="es-419"/>
        </w:rPr>
        <w:tab/>
        <w:t>Privacidad de la información personal no pública (título 10, art. 2689.4 al 2689.22 del Código de Seguros de California)</w:t>
      </w:r>
    </w:p>
    <w:p w14:paraId="1711051A" w14:textId="77777777" w:rsidR="00EE20A4" w:rsidRPr="0078598D" w:rsidRDefault="004F016A" w:rsidP="00EE20A4">
      <w:pPr>
        <w:tabs>
          <w:tab w:val="left" w:pos="720"/>
          <w:tab w:val="left" w:pos="1440"/>
          <w:tab w:val="left" w:pos="2700"/>
        </w:tabs>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Ley de Portabilidad y Responsabilidad de Seguros Médicos (</w:t>
      </w:r>
      <w:proofErr w:type="spellStart"/>
      <w:r w:rsidRPr="0078598D">
        <w:rPr>
          <w:lang w:val="es-419"/>
        </w:rPr>
        <w:t>Health</w:t>
      </w:r>
      <w:proofErr w:type="spellEnd"/>
      <w:r w:rsidRPr="0078598D">
        <w:rPr>
          <w:lang w:val="es-419"/>
        </w:rPr>
        <w:t xml:space="preserve"> </w:t>
      </w:r>
      <w:proofErr w:type="spellStart"/>
      <w:r w:rsidRPr="0078598D">
        <w:rPr>
          <w:lang w:val="es-419"/>
        </w:rPr>
        <w:t>Insurance</w:t>
      </w:r>
      <w:proofErr w:type="spellEnd"/>
      <w:r w:rsidRPr="0078598D">
        <w:rPr>
          <w:lang w:val="es-419"/>
        </w:rPr>
        <w:t xml:space="preserve"> </w:t>
      </w:r>
      <w:proofErr w:type="spellStart"/>
      <w:r w:rsidRPr="0078598D">
        <w:rPr>
          <w:lang w:val="es-419"/>
        </w:rPr>
        <w:t>Portability</w:t>
      </w:r>
      <w:proofErr w:type="spellEnd"/>
      <w:r w:rsidRPr="0078598D">
        <w:rPr>
          <w:lang w:val="es-419"/>
        </w:rPr>
        <w:t xml:space="preserve"> and </w:t>
      </w:r>
      <w:proofErr w:type="spellStart"/>
      <w:r w:rsidRPr="0078598D">
        <w:rPr>
          <w:lang w:val="es-419"/>
        </w:rPr>
        <w:t>Accountability</w:t>
      </w:r>
      <w:proofErr w:type="spellEnd"/>
      <w:r w:rsidRPr="0078598D">
        <w:rPr>
          <w:lang w:val="es-419"/>
        </w:rPr>
        <w:t xml:space="preserve"> </w:t>
      </w:r>
      <w:proofErr w:type="spellStart"/>
      <w:r w:rsidRPr="0078598D">
        <w:rPr>
          <w:lang w:val="es-419"/>
        </w:rPr>
        <w:t>Act</w:t>
      </w:r>
      <w:proofErr w:type="spellEnd"/>
      <w:r w:rsidRPr="0078598D">
        <w:rPr>
          <w:lang w:val="es-419"/>
        </w:rPr>
        <w:t>, HIPAA)</w:t>
      </w:r>
    </w:p>
    <w:p w14:paraId="02FD69C6" w14:textId="1FEFF4FD" w:rsidR="00A95E8F" w:rsidRPr="0078598D" w:rsidRDefault="00A95E8F" w:rsidP="00A95E8F">
      <w:pPr>
        <w:tabs>
          <w:tab w:val="left" w:pos="720"/>
          <w:tab w:val="left" w:pos="1440"/>
          <w:tab w:val="left" w:pos="2700"/>
        </w:tabs>
        <w:ind w:left="2700" w:hanging="540"/>
        <w:rPr>
          <w:rFonts w:cs="Arial"/>
          <w:szCs w:val="24"/>
          <w:lang w:val="es-419"/>
        </w:rPr>
      </w:pPr>
      <w:r w:rsidRPr="0078598D">
        <w:rPr>
          <w:lang w:val="es-419"/>
        </w:rPr>
        <w:t>v.</w:t>
      </w:r>
      <w:r w:rsidRPr="0078598D">
        <w:rPr>
          <w:lang w:val="es-419"/>
        </w:rPr>
        <w:tab/>
        <w:t>Ley de Privacidad del Consumidor de California de 2018 (vigente a partir del 1° de enero de 2020)</w:t>
      </w:r>
    </w:p>
    <w:p w14:paraId="4ECF94AA" w14:textId="539641C2" w:rsidR="00A95E8F" w:rsidRPr="0078598D" w:rsidRDefault="00A95E8F" w:rsidP="00A95E8F">
      <w:pPr>
        <w:tabs>
          <w:tab w:val="left" w:pos="720"/>
          <w:tab w:val="left" w:pos="1440"/>
          <w:tab w:val="left" w:pos="2700"/>
        </w:tabs>
        <w:ind w:left="2700" w:hanging="540"/>
        <w:rPr>
          <w:rFonts w:cs="Arial"/>
          <w:szCs w:val="24"/>
          <w:lang w:val="es-419"/>
        </w:rPr>
      </w:pPr>
      <w:r w:rsidRPr="0078598D">
        <w:rPr>
          <w:lang w:val="es-419"/>
        </w:rPr>
        <w:t>vi.</w:t>
      </w:r>
      <w:r w:rsidR="002A036E">
        <w:rPr>
          <w:lang w:val="es-419"/>
        </w:rPr>
        <w:tab/>
      </w:r>
      <w:r w:rsidRPr="0078598D">
        <w:rPr>
          <w:lang w:val="es-419"/>
        </w:rPr>
        <w:t>La ley “</w:t>
      </w:r>
      <w:proofErr w:type="spellStart"/>
      <w:r w:rsidRPr="0078598D">
        <w:rPr>
          <w:lang w:val="es-419"/>
        </w:rPr>
        <w:t>Shine</w:t>
      </w:r>
      <w:proofErr w:type="spellEnd"/>
      <w:r w:rsidRPr="0078598D">
        <w:rPr>
          <w:lang w:val="es-419"/>
        </w:rPr>
        <w:t xml:space="preserve"> </w:t>
      </w:r>
      <w:proofErr w:type="spellStart"/>
      <w:r w:rsidRPr="0078598D">
        <w:rPr>
          <w:lang w:val="es-419"/>
        </w:rPr>
        <w:t>the</w:t>
      </w:r>
      <w:proofErr w:type="spellEnd"/>
      <w:r w:rsidRPr="0078598D">
        <w:rPr>
          <w:lang w:val="es-419"/>
        </w:rPr>
        <w:t xml:space="preserve"> Light” (Ley de privacidad) de California (art. 1798.83 del Código Civil de California) </w:t>
      </w:r>
    </w:p>
    <w:p w14:paraId="0C871F65" w14:textId="4665A3FD" w:rsidR="00EE20A4" w:rsidRPr="0078598D" w:rsidRDefault="00D114C2" w:rsidP="00EE20A4">
      <w:pPr>
        <w:pStyle w:val="Quick1"/>
        <w:numPr>
          <w:ilvl w:val="0"/>
          <w:numId w:val="0"/>
        </w:numPr>
        <w:tabs>
          <w:tab w:val="left" w:pos="-1440"/>
          <w:tab w:val="left" w:pos="2160"/>
        </w:tabs>
        <w:ind w:left="2160" w:hanging="540"/>
        <w:rPr>
          <w:rFonts w:cs="Arial"/>
          <w:szCs w:val="24"/>
          <w:lang w:val="es-419"/>
        </w:rPr>
      </w:pPr>
      <w:r w:rsidRPr="0078598D">
        <w:rPr>
          <w:lang w:val="es-419"/>
        </w:rPr>
        <w:t>d.</w:t>
      </w:r>
      <w:r w:rsidRPr="0078598D">
        <w:rPr>
          <w:lang w:val="es-419"/>
        </w:rPr>
        <w:tab/>
        <w:t xml:space="preserve">Poder identificar el alcance y la aplicación correcta de los procedimientos de conservación que se describen en los art. 1011, 1013 y 1016 del Código de Seguros de California) </w:t>
      </w:r>
    </w:p>
    <w:p w14:paraId="36CC23CF" w14:textId="63190CFE" w:rsidR="00EE20A4" w:rsidRPr="0078598D" w:rsidRDefault="00D114C2" w:rsidP="00EE20A4">
      <w:pPr>
        <w:tabs>
          <w:tab w:val="left" w:pos="2160"/>
        </w:tabs>
        <w:ind w:left="2160" w:hanging="540"/>
        <w:rPr>
          <w:rFonts w:cs="Arial"/>
          <w:szCs w:val="24"/>
          <w:lang w:val="es-419"/>
        </w:rPr>
      </w:pPr>
      <w:r w:rsidRPr="0078598D">
        <w:rPr>
          <w:lang w:val="es-419"/>
        </w:rPr>
        <w:t>e.</w:t>
      </w:r>
      <w:r w:rsidRPr="0078598D">
        <w:rPr>
          <w:lang w:val="es-419"/>
        </w:rPr>
        <w:tab/>
        <w:t>Ser capaz de definir una aseguradora insolvente, art. 985 del Código de Seguros de California:</w:t>
      </w:r>
    </w:p>
    <w:p w14:paraId="508685EE" w14:textId="59AB56DF" w:rsidR="00EE20A4" w:rsidRPr="0078598D" w:rsidRDefault="00EE20A4" w:rsidP="00EE20A4">
      <w:pPr>
        <w:tabs>
          <w:tab w:val="left" w:pos="-1080"/>
          <w:tab w:val="left" w:pos="1440"/>
          <w:tab w:val="left" w:pos="2700"/>
        </w:tabs>
        <w:ind w:left="2700" w:hanging="540"/>
        <w:rPr>
          <w:rFonts w:cs="Arial"/>
          <w:szCs w:val="24"/>
          <w:lang w:val="es-419"/>
        </w:rPr>
      </w:pPr>
      <w:r w:rsidRPr="0078598D">
        <w:rPr>
          <w:lang w:val="es-419"/>
        </w:rPr>
        <w:t>i.</w:t>
      </w:r>
      <w:r w:rsidRPr="0078598D">
        <w:rPr>
          <w:lang w:val="es-419"/>
        </w:rPr>
        <w:tab/>
        <w:t>La definición de aseguradora insolvente incluye cualquiera de las siguientes:</w:t>
      </w:r>
    </w:p>
    <w:p w14:paraId="53CCCB1C" w14:textId="74486B8B" w:rsidR="00EE20A4" w:rsidRPr="0078598D" w:rsidRDefault="00EE20A4" w:rsidP="00EE20A4">
      <w:pPr>
        <w:pStyle w:val="HTMLPreformatted"/>
        <w:tabs>
          <w:tab w:val="clear" w:pos="1832"/>
          <w:tab w:val="clear" w:pos="2748"/>
          <w:tab w:val="left" w:pos="1440"/>
          <w:tab w:val="left" w:pos="3240"/>
          <w:tab w:val="left" w:pos="3330"/>
        </w:tabs>
        <w:ind w:left="3240" w:hanging="540"/>
        <w:rPr>
          <w:rFonts w:ascii="Arial" w:hAnsi="Arial" w:cs="Arial"/>
          <w:sz w:val="24"/>
          <w:szCs w:val="24"/>
          <w:lang w:val="es-419"/>
        </w:rPr>
      </w:pPr>
      <w:r w:rsidRPr="0078598D">
        <w:rPr>
          <w:rFonts w:ascii="Arial" w:hAnsi="Arial"/>
          <w:sz w:val="24"/>
          <w:lang w:val="es-419"/>
        </w:rPr>
        <w:t>1)</w:t>
      </w:r>
      <w:r w:rsidRPr="0078598D">
        <w:rPr>
          <w:rFonts w:ascii="Arial" w:hAnsi="Arial"/>
          <w:sz w:val="24"/>
          <w:lang w:val="es-419"/>
        </w:rPr>
        <w:tab/>
        <w:t>Cualquier deterioro de mínimo “capital social suscrito” o “capital desembolsado” como se define en el art. 36, requerido en el total de una aseguradora a través de las disposiciones de este Código para la clase, o las clases, de seguro que se transan en cualquier parte</w:t>
      </w:r>
    </w:p>
    <w:p w14:paraId="7298CE3B" w14:textId="2E769BB0" w:rsidR="00EE20A4" w:rsidRPr="0078598D" w:rsidRDefault="00EE20A4" w:rsidP="00EE20A4">
      <w:pPr>
        <w:pStyle w:val="HTMLPreformatted"/>
        <w:tabs>
          <w:tab w:val="clear" w:pos="1832"/>
          <w:tab w:val="left" w:pos="3240"/>
          <w:tab w:val="left" w:pos="3330"/>
        </w:tabs>
        <w:ind w:left="3240" w:hanging="540"/>
        <w:rPr>
          <w:rFonts w:ascii="Arial" w:hAnsi="Arial" w:cs="Arial"/>
          <w:sz w:val="24"/>
          <w:szCs w:val="24"/>
          <w:lang w:val="es-419"/>
        </w:rPr>
      </w:pPr>
      <w:r w:rsidRPr="0078598D">
        <w:rPr>
          <w:rFonts w:ascii="Arial" w:hAnsi="Arial"/>
          <w:sz w:val="24"/>
          <w:lang w:val="es-419"/>
        </w:rPr>
        <w:t>2)</w:t>
      </w:r>
      <w:r w:rsidRPr="0078598D">
        <w:rPr>
          <w:rFonts w:ascii="Arial" w:hAnsi="Arial"/>
          <w:sz w:val="24"/>
          <w:lang w:val="es-419"/>
        </w:rPr>
        <w:tab/>
        <w:t>La incapacidad de una aseguradora para cumplir con sus obligaciones financieras a su vencimiento</w:t>
      </w:r>
    </w:p>
    <w:p w14:paraId="6B2C9E33" w14:textId="1023261F" w:rsidR="00EE20A4" w:rsidRPr="0078598D" w:rsidRDefault="00EE20A4" w:rsidP="00EE20A4">
      <w:pPr>
        <w:pStyle w:val="HTMLPreformatted"/>
        <w:tabs>
          <w:tab w:val="clear" w:pos="916"/>
          <w:tab w:val="clear" w:pos="1832"/>
          <w:tab w:val="clear" w:pos="2748"/>
          <w:tab w:val="left" w:pos="720"/>
          <w:tab w:val="left" w:pos="1440"/>
          <w:tab w:val="left" w:pos="2700"/>
        </w:tabs>
        <w:ind w:left="2700" w:hanging="540"/>
        <w:rPr>
          <w:rFonts w:ascii="Arial" w:hAnsi="Arial" w:cs="Arial"/>
          <w:sz w:val="24"/>
          <w:szCs w:val="24"/>
          <w:lang w:val="es-419"/>
        </w:rPr>
      </w:pPr>
      <w:proofErr w:type="spellStart"/>
      <w:r w:rsidRPr="0078598D">
        <w:rPr>
          <w:rFonts w:ascii="Arial" w:hAnsi="Arial"/>
          <w:sz w:val="24"/>
          <w:lang w:val="es-419"/>
        </w:rPr>
        <w:t>ii</w:t>
      </w:r>
      <w:proofErr w:type="spellEnd"/>
      <w:r w:rsidRPr="0078598D">
        <w:rPr>
          <w:rFonts w:ascii="Arial" w:hAnsi="Arial"/>
          <w:sz w:val="24"/>
          <w:lang w:val="es-419"/>
        </w:rPr>
        <w:t>.</w:t>
      </w:r>
      <w:r w:rsidRPr="0078598D">
        <w:rPr>
          <w:rFonts w:ascii="Arial" w:hAnsi="Arial"/>
          <w:sz w:val="24"/>
          <w:lang w:val="es-419"/>
        </w:rPr>
        <w:tab/>
        <w:t>Saber que una aseguradora no puede escapar a la condición de insolvencia al tener la capacidad de atender todas sus responsabilidades y de reasegurar todos los riesgos pendientes. Una aseguradora también debe poseer bienes adicionales equivalentes al total del “capital social suscrito” o “capital desembolsado”, que exige este Código luego de adoptar disposiciones para todas dichas responsabilidades y dicho reaseguro, art. 985(a)(1) y (2) del Código de Seguros de California</w:t>
      </w:r>
    </w:p>
    <w:p w14:paraId="29BDF29B" w14:textId="7AD9C197" w:rsidR="00EE20A4" w:rsidRPr="0078598D" w:rsidRDefault="00EE20A4" w:rsidP="00EE20A4">
      <w:pPr>
        <w:tabs>
          <w:tab w:val="left" w:pos="2700"/>
        </w:tabs>
        <w:ind w:left="2700" w:hanging="540"/>
        <w:rPr>
          <w:rFonts w:cs="Arial"/>
          <w:szCs w:val="24"/>
          <w:lang w:val="es-419"/>
        </w:rPr>
      </w:pPr>
      <w:proofErr w:type="spellStart"/>
      <w:r w:rsidRPr="0078598D">
        <w:rPr>
          <w:lang w:val="es-419"/>
        </w:rPr>
        <w:lastRenderedPageBreak/>
        <w:t>iii</w:t>
      </w:r>
      <w:proofErr w:type="spellEnd"/>
      <w:r w:rsidRPr="0078598D">
        <w:rPr>
          <w:lang w:val="es-419"/>
        </w:rPr>
        <w:t>.</w:t>
      </w:r>
      <w:r w:rsidRPr="0078598D">
        <w:rPr>
          <w:lang w:val="es-419"/>
        </w:rPr>
        <w:tab/>
        <w:t>Conocer la definición de “capital social suscrito”, art. 36 y 985 del Código de Seguros de California</w:t>
      </w:r>
    </w:p>
    <w:p w14:paraId="367F2155" w14:textId="766DAD70" w:rsidR="00EE20A4" w:rsidRPr="0078598D" w:rsidRDefault="00EE20A4" w:rsidP="00A64CE7">
      <w:pPr>
        <w:tabs>
          <w:tab w:val="left" w:pos="2700"/>
        </w:tabs>
        <w:ind w:left="2700" w:hanging="540"/>
        <w:rPr>
          <w:rFonts w:cs="Arial"/>
          <w:szCs w:val="24"/>
          <w:lang w:val="es-419"/>
        </w:rPr>
      </w:pPr>
      <w:proofErr w:type="spellStart"/>
      <w:r w:rsidRPr="0078598D">
        <w:rPr>
          <w:lang w:val="es-419"/>
        </w:rPr>
        <w:t>iv</w:t>
      </w:r>
      <w:proofErr w:type="spellEnd"/>
      <w:r w:rsidRPr="0078598D">
        <w:rPr>
          <w:lang w:val="es-419"/>
        </w:rPr>
        <w:t>.</w:t>
      </w:r>
      <w:r w:rsidRPr="0078598D">
        <w:rPr>
          <w:lang w:val="es-419"/>
        </w:rPr>
        <w:tab/>
        <w:t xml:space="preserve">Saber </w:t>
      </w:r>
      <w:proofErr w:type="spellStart"/>
      <w:r w:rsidRPr="0078598D">
        <w:rPr>
          <w:lang w:val="es-419"/>
        </w:rPr>
        <w:t>que</w:t>
      </w:r>
      <w:proofErr w:type="spellEnd"/>
      <w:r w:rsidRPr="0078598D">
        <w:rPr>
          <w:lang w:val="es-419"/>
        </w:rPr>
        <w:t xml:space="preserve"> negarse a entregar libros, registros o bienes al comisionado una vez que se ha ejecutado una orden de embargo en un procedimiento por insolvencia, constituye un delito menor, art. 1013 del Código de Seguros de California</w:t>
      </w:r>
      <w:r w:rsidRPr="0078598D">
        <w:rPr>
          <w:lang w:val="es-419"/>
        </w:rPr>
        <w:tab/>
      </w:r>
    </w:p>
    <w:p w14:paraId="010E8C3D" w14:textId="122CDE6D" w:rsidR="009F6EA7" w:rsidRPr="0078598D" w:rsidRDefault="00D47014" w:rsidP="00531331">
      <w:pPr>
        <w:pStyle w:val="Quick1"/>
        <w:numPr>
          <w:ilvl w:val="0"/>
          <w:numId w:val="0"/>
        </w:numPr>
        <w:tabs>
          <w:tab w:val="left" w:pos="-1440"/>
          <w:tab w:val="num" w:pos="720"/>
          <w:tab w:val="left" w:pos="2160"/>
        </w:tabs>
        <w:ind w:left="2160" w:hanging="540"/>
        <w:rPr>
          <w:rFonts w:cs="Arial"/>
          <w:szCs w:val="24"/>
          <w:lang w:val="es-419"/>
        </w:rPr>
      </w:pPr>
      <w:r w:rsidRPr="0078598D">
        <w:rPr>
          <w:lang w:val="es-419"/>
        </w:rPr>
        <w:t>f.</w:t>
      </w:r>
      <w:r w:rsidRPr="0078598D">
        <w:rPr>
          <w:lang w:val="es-419"/>
        </w:rPr>
        <w:tab/>
        <w:t>Poder describir los pasos que debe seguir un agente con licencia cuando hay sospecha de fraude</w:t>
      </w:r>
    </w:p>
    <w:p w14:paraId="2626BA02" w14:textId="496E9075" w:rsidR="00EE20A4" w:rsidRPr="0078598D" w:rsidRDefault="00D47014" w:rsidP="00EE20A4">
      <w:pPr>
        <w:tabs>
          <w:tab w:val="left" w:pos="-1440"/>
          <w:tab w:val="left" w:pos="2160"/>
        </w:tabs>
        <w:ind w:left="2160" w:hanging="540"/>
        <w:rPr>
          <w:rFonts w:cs="Arial"/>
          <w:szCs w:val="24"/>
          <w:lang w:val="es-419"/>
        </w:rPr>
      </w:pPr>
      <w:r w:rsidRPr="0078598D">
        <w:rPr>
          <w:lang w:val="es-419"/>
        </w:rPr>
        <w:t>g</w:t>
      </w:r>
      <w:r w:rsidRPr="0078598D">
        <w:rPr>
          <w:lang w:val="es-419"/>
        </w:rPr>
        <w:tab/>
        <w:t>Poder identificar el significado (según su uso en el Código de Seguros de California) de:</w:t>
      </w:r>
    </w:p>
    <w:p w14:paraId="36BA9AE5" w14:textId="798D63E9" w:rsidR="00EE20A4" w:rsidRPr="0078598D" w:rsidRDefault="00EE20A4" w:rsidP="00EE20A4">
      <w:pPr>
        <w:tabs>
          <w:tab w:val="left" w:pos="-1440"/>
          <w:tab w:val="left" w:pos="2700"/>
        </w:tabs>
        <w:ind w:left="2700" w:hanging="540"/>
        <w:rPr>
          <w:rFonts w:cs="Arial"/>
          <w:szCs w:val="24"/>
          <w:lang w:val="es-419"/>
        </w:rPr>
      </w:pPr>
      <w:r w:rsidRPr="0078598D">
        <w:rPr>
          <w:lang w:val="es-419"/>
        </w:rPr>
        <w:t>i.</w:t>
      </w:r>
      <w:r w:rsidRPr="0078598D">
        <w:rPr>
          <w:lang w:val="es-419"/>
        </w:rPr>
        <w:tab/>
        <w:t xml:space="preserve">Deberá y podrá, art. 16 del Código de Seguros de California </w:t>
      </w:r>
    </w:p>
    <w:p w14:paraId="2FD52310" w14:textId="45D005FF" w:rsidR="00EE20A4" w:rsidRPr="0078598D" w:rsidRDefault="00EE20A4" w:rsidP="00EE20A4">
      <w:pPr>
        <w:tabs>
          <w:tab w:val="left" w:pos="-1440"/>
          <w:tab w:val="left" w:pos="2700"/>
        </w:tabs>
        <w:ind w:left="2700" w:hanging="540"/>
        <w:rPr>
          <w:rFonts w:cs="Arial"/>
          <w:szCs w:val="24"/>
          <w:lang w:val="es-419"/>
        </w:rPr>
      </w:pPr>
      <w:r w:rsidRPr="0078598D">
        <w:rPr>
          <w:lang w:val="es-419"/>
        </w:rPr>
        <w:t>ii.</w:t>
      </w:r>
      <w:r w:rsidRPr="0078598D">
        <w:rPr>
          <w:lang w:val="es-419"/>
        </w:rPr>
        <w:tab/>
        <w:t>Persona, art. 19 del Código de Seguros de California</w:t>
      </w:r>
    </w:p>
    <w:p w14:paraId="1EAEF322" w14:textId="0E40D542" w:rsidR="009F6EA7" w:rsidRPr="0078598D" w:rsidRDefault="004E79AE" w:rsidP="007B4A7F">
      <w:pPr>
        <w:tabs>
          <w:tab w:val="left" w:pos="-1440"/>
          <w:tab w:val="left" w:pos="2160"/>
        </w:tabs>
        <w:ind w:left="2160" w:hanging="540"/>
        <w:rPr>
          <w:rFonts w:cs="Arial"/>
          <w:szCs w:val="24"/>
          <w:lang w:val="es-419"/>
        </w:rPr>
      </w:pPr>
      <w:r w:rsidRPr="0078598D">
        <w:rPr>
          <w:lang w:val="es-419"/>
        </w:rPr>
        <w:t>j.</w:t>
      </w:r>
      <w:r w:rsidRPr="0078598D">
        <w:rPr>
          <w:lang w:val="es-419"/>
        </w:rPr>
        <w:tab/>
        <w:t xml:space="preserve">Poder identificar los requisitos de notificaciones por correo, art. 38 del Código de Seguros de California </w:t>
      </w:r>
    </w:p>
    <w:p w14:paraId="38B21C6B" w14:textId="77777777" w:rsidR="00EE20A4" w:rsidRPr="0078598D" w:rsidRDefault="00EE20A4" w:rsidP="00EE20A4">
      <w:pPr>
        <w:tabs>
          <w:tab w:val="left" w:pos="1620"/>
        </w:tabs>
        <w:ind w:left="1620" w:hanging="540"/>
        <w:rPr>
          <w:rFonts w:cs="Arial"/>
          <w:szCs w:val="24"/>
          <w:lang w:val="es-419"/>
        </w:rPr>
      </w:pPr>
    </w:p>
    <w:p w14:paraId="23F91023" w14:textId="77777777" w:rsidR="00EE20A4" w:rsidRPr="0078598D" w:rsidRDefault="00EE20A4" w:rsidP="00EE20A4">
      <w:pPr>
        <w:ind w:left="540" w:hanging="540"/>
        <w:rPr>
          <w:rFonts w:cs="Arial"/>
          <w:szCs w:val="24"/>
          <w:lang w:val="es-419"/>
        </w:rPr>
      </w:pPr>
      <w:r w:rsidRPr="0078598D">
        <w:rPr>
          <w:lang w:val="es-419"/>
        </w:rPr>
        <w:t xml:space="preserve">I. </w:t>
      </w:r>
      <w:r w:rsidRPr="0078598D">
        <w:rPr>
          <w:lang w:val="es-419"/>
        </w:rPr>
        <w:tab/>
        <w:t>Seguro general</w:t>
      </w:r>
    </w:p>
    <w:p w14:paraId="24ECCB55" w14:textId="77777777" w:rsidR="00EE20A4" w:rsidRPr="0078598D" w:rsidRDefault="00EE20A4" w:rsidP="00EE20A4">
      <w:pPr>
        <w:widowControl/>
        <w:ind w:left="1080" w:hanging="540"/>
        <w:jc w:val="both"/>
        <w:rPr>
          <w:rFonts w:cs="Arial"/>
          <w:szCs w:val="24"/>
          <w:lang w:val="es-419"/>
        </w:rPr>
      </w:pPr>
      <w:r w:rsidRPr="0078598D">
        <w:rPr>
          <w:lang w:val="es-419"/>
        </w:rPr>
        <w:t>C.</w:t>
      </w:r>
      <w:r w:rsidRPr="0078598D">
        <w:rPr>
          <w:lang w:val="es-419"/>
        </w:rPr>
        <w:tab/>
        <w:t>El mercado de seguros</w:t>
      </w:r>
    </w:p>
    <w:p w14:paraId="2B4153B2" w14:textId="77777777" w:rsidR="00EE20A4" w:rsidRPr="0078598D" w:rsidRDefault="00EE20A4" w:rsidP="00EE20A4">
      <w:pPr>
        <w:widowControl/>
        <w:ind w:left="1620" w:hanging="540"/>
        <w:jc w:val="both"/>
        <w:rPr>
          <w:rFonts w:cs="Arial"/>
          <w:szCs w:val="24"/>
          <w:lang w:val="es-419"/>
        </w:rPr>
      </w:pPr>
      <w:r w:rsidRPr="0078598D">
        <w:rPr>
          <w:lang w:val="es-419"/>
        </w:rPr>
        <w:t>5.</w:t>
      </w:r>
      <w:r w:rsidRPr="0078598D">
        <w:rPr>
          <w:lang w:val="es-419"/>
        </w:rPr>
        <w:tab/>
        <w:t>Regulaciones de las prácticas de liquidación de reclamaciones justas</w:t>
      </w:r>
    </w:p>
    <w:p w14:paraId="0434A903" w14:textId="6841FA8C" w:rsidR="00EE20A4" w:rsidRPr="0078598D" w:rsidRDefault="00EE20A4" w:rsidP="00EE20A4">
      <w:pPr>
        <w:ind w:left="2160" w:hanging="540"/>
        <w:rPr>
          <w:rFonts w:cs="Arial"/>
          <w:szCs w:val="24"/>
          <w:lang w:val="es-419"/>
        </w:rPr>
      </w:pPr>
      <w:r w:rsidRPr="0078598D">
        <w:rPr>
          <w:lang w:val="es-419"/>
        </w:rPr>
        <w:t>a.</w:t>
      </w:r>
      <w:r w:rsidRPr="0078598D">
        <w:rPr>
          <w:lang w:val="es-419"/>
        </w:rPr>
        <w:tab/>
        <w:t>Poder identificar una definición de lo siguiente:</w:t>
      </w:r>
    </w:p>
    <w:p w14:paraId="7344874B" w14:textId="0754B186" w:rsidR="00EE20A4" w:rsidRPr="0078598D" w:rsidRDefault="00EE20A4" w:rsidP="00EE20A4">
      <w:pPr>
        <w:ind w:left="2700" w:hanging="540"/>
        <w:rPr>
          <w:rFonts w:cs="Arial"/>
          <w:szCs w:val="24"/>
          <w:lang w:val="es-419"/>
        </w:rPr>
      </w:pPr>
      <w:r w:rsidRPr="0078598D">
        <w:rPr>
          <w:lang w:val="es-419"/>
        </w:rPr>
        <w:t>i.</w:t>
      </w:r>
      <w:r w:rsidRPr="0078598D">
        <w:rPr>
          <w:lang w:val="es-419"/>
        </w:rPr>
        <w:tab/>
        <w:t xml:space="preserve">Demandante, título 10, art. 2695.2(c) del Código de Regulaciones de California </w:t>
      </w:r>
    </w:p>
    <w:p w14:paraId="270732B9" w14:textId="4635C831" w:rsidR="00EE20A4" w:rsidRPr="0078598D" w:rsidRDefault="00EE20A4" w:rsidP="00EE20A4">
      <w:pPr>
        <w:ind w:left="2700" w:hanging="540"/>
        <w:rPr>
          <w:rFonts w:cs="Arial"/>
          <w:szCs w:val="24"/>
          <w:lang w:val="es-419"/>
        </w:rPr>
      </w:pPr>
      <w:r w:rsidRPr="0078598D">
        <w:rPr>
          <w:lang w:val="es-419"/>
        </w:rPr>
        <w:t>ii.</w:t>
      </w:r>
      <w:r w:rsidRPr="0078598D">
        <w:rPr>
          <w:lang w:val="es-419"/>
        </w:rPr>
        <w:tab/>
        <w:t>Aviso de acción legal, título 10, art. 2695.2(o) del Código de Regulaciones de California</w:t>
      </w:r>
    </w:p>
    <w:p w14:paraId="5A319B07" w14:textId="7D867B8A" w:rsidR="00EE20A4" w:rsidRPr="0078598D" w:rsidRDefault="00EE20A4" w:rsidP="00EE20A4">
      <w:pPr>
        <w:ind w:left="2700" w:hanging="540"/>
        <w:rPr>
          <w:rFonts w:cs="Arial"/>
          <w:szCs w:val="24"/>
          <w:lang w:val="es-419"/>
        </w:rPr>
      </w:pPr>
      <w:r w:rsidRPr="0078598D">
        <w:rPr>
          <w:lang w:val="es-419"/>
        </w:rPr>
        <w:t>iii.</w:t>
      </w:r>
      <w:r w:rsidRPr="0078598D">
        <w:rPr>
          <w:lang w:val="es-419"/>
        </w:rPr>
        <w:tab/>
        <w:t>Prueba de reclamación, título 10, art. 2695.2(s) del Código de Regulaciones de California</w:t>
      </w:r>
    </w:p>
    <w:p w14:paraId="3C1541BF" w14:textId="2B3E5FBC" w:rsidR="00EE20A4" w:rsidRPr="0078598D" w:rsidRDefault="00EE20A4" w:rsidP="00EE20A4">
      <w:pPr>
        <w:ind w:left="2160" w:hanging="540"/>
        <w:rPr>
          <w:rFonts w:cs="Arial"/>
          <w:szCs w:val="24"/>
          <w:lang w:val="es-419"/>
        </w:rPr>
      </w:pPr>
      <w:r w:rsidRPr="0078598D">
        <w:rPr>
          <w:lang w:val="es-419"/>
        </w:rPr>
        <w:t>b.</w:t>
      </w:r>
      <w:r w:rsidRPr="0078598D">
        <w:rPr>
          <w:lang w:val="es-419"/>
        </w:rPr>
        <w:tab/>
        <w:t>Poder identificar documentos de archivo y registro, título 10, art. 2695.3 del Código de Regulaciones de California</w:t>
      </w:r>
    </w:p>
    <w:p w14:paraId="16880CF0" w14:textId="12EB79DB" w:rsidR="00EE20A4" w:rsidRPr="0078598D" w:rsidRDefault="00EE20A4" w:rsidP="00EE20A4">
      <w:pPr>
        <w:ind w:left="2160" w:hanging="540"/>
        <w:rPr>
          <w:rFonts w:cs="Arial"/>
          <w:szCs w:val="24"/>
          <w:lang w:val="es-419"/>
        </w:rPr>
      </w:pPr>
      <w:r w:rsidRPr="0078598D">
        <w:rPr>
          <w:lang w:val="es-419"/>
        </w:rPr>
        <w:t>c.</w:t>
      </w:r>
      <w:r w:rsidRPr="0078598D">
        <w:rPr>
          <w:lang w:val="es-419"/>
        </w:rPr>
        <w:tab/>
        <w:t xml:space="preserve">Poder identificar los deberes que implica la recepción de comunicaciones, título 10, art. 2695.5 del Código de Regulaciones de California </w:t>
      </w:r>
    </w:p>
    <w:p w14:paraId="7C6510C6" w14:textId="6EAE6FC4" w:rsidR="00EE20A4" w:rsidRPr="0078598D" w:rsidRDefault="00EE20A4" w:rsidP="00EE20A4">
      <w:pPr>
        <w:ind w:left="2160" w:hanging="540"/>
        <w:rPr>
          <w:rFonts w:cs="Arial"/>
          <w:szCs w:val="24"/>
          <w:lang w:val="es-419"/>
        </w:rPr>
      </w:pPr>
      <w:r w:rsidRPr="0078598D">
        <w:rPr>
          <w:lang w:val="es-419"/>
        </w:rPr>
        <w:t>d.</w:t>
      </w:r>
      <w:r w:rsidRPr="0078598D">
        <w:rPr>
          <w:lang w:val="es-419"/>
        </w:rPr>
        <w:tab/>
        <w:t>Poder identificar las normas de liquidaciones rápidas, justas y equitativas, título 10, art. 2695.7(a), (b), (c), (g) y (h) del Código de Regulaciones de California</w:t>
      </w:r>
    </w:p>
    <w:p w14:paraId="1D7A005B" w14:textId="77777777" w:rsidR="00D47014" w:rsidRPr="0078598D" w:rsidRDefault="00D47014" w:rsidP="00D47014">
      <w:pPr>
        <w:widowControl/>
        <w:tabs>
          <w:tab w:val="left" w:pos="-1080"/>
          <w:tab w:val="left" w:pos="-720"/>
          <w:tab w:val="left" w:pos="540"/>
          <w:tab w:val="left" w:pos="2160"/>
          <w:tab w:val="left" w:pos="2880"/>
          <w:tab w:val="left" w:pos="4092"/>
        </w:tabs>
        <w:rPr>
          <w:rFonts w:cs="Arial"/>
          <w:szCs w:val="24"/>
          <w:lang w:val="es-419"/>
        </w:rPr>
      </w:pPr>
    </w:p>
    <w:p w14:paraId="6C6C6DE9" w14:textId="77777777" w:rsidR="00D47014" w:rsidRPr="0078598D" w:rsidRDefault="00D47014" w:rsidP="00D47014">
      <w:pPr>
        <w:pStyle w:val="ListParagraph"/>
        <w:widowControl/>
        <w:numPr>
          <w:ilvl w:val="0"/>
          <w:numId w:val="24"/>
        </w:numPr>
        <w:tabs>
          <w:tab w:val="left" w:pos="-1080"/>
          <w:tab w:val="left" w:pos="-720"/>
          <w:tab w:val="left" w:pos="2160"/>
          <w:tab w:val="left" w:pos="2880"/>
          <w:tab w:val="left" w:pos="4092"/>
        </w:tabs>
        <w:rPr>
          <w:rFonts w:cs="Arial"/>
          <w:szCs w:val="24"/>
          <w:lang w:val="es-419"/>
        </w:rPr>
      </w:pPr>
      <w:r w:rsidRPr="0078598D">
        <w:rPr>
          <w:lang w:val="es-419"/>
        </w:rPr>
        <w:t>Seguro general</w:t>
      </w:r>
    </w:p>
    <w:p w14:paraId="16C16F18" w14:textId="4EDEA69D" w:rsidR="00D47014" w:rsidRPr="0078598D" w:rsidRDefault="00D47014" w:rsidP="00D47014">
      <w:pPr>
        <w:pStyle w:val="ListParagraph"/>
        <w:widowControl/>
        <w:numPr>
          <w:ilvl w:val="0"/>
          <w:numId w:val="25"/>
        </w:numPr>
        <w:tabs>
          <w:tab w:val="left" w:pos="-1080"/>
          <w:tab w:val="left" w:pos="-720"/>
          <w:tab w:val="left" w:pos="2160"/>
          <w:tab w:val="left" w:pos="2880"/>
          <w:tab w:val="left" w:pos="4092"/>
        </w:tabs>
        <w:ind w:left="1620" w:hanging="540"/>
        <w:rPr>
          <w:rFonts w:cs="Arial"/>
          <w:szCs w:val="24"/>
          <w:lang w:val="es-419"/>
        </w:rPr>
      </w:pPr>
      <w:r w:rsidRPr="0078598D">
        <w:rPr>
          <w:lang w:val="es-419"/>
        </w:rPr>
        <w:t>Capacitación obligatoria de una hora sobre el fraude, a cargo de la División contra el Fraude de la Rama de Cumplimiento del CDI</w:t>
      </w:r>
    </w:p>
    <w:p w14:paraId="15CFB17B" w14:textId="77777777" w:rsidR="00D47014" w:rsidRPr="0078598D" w:rsidRDefault="00D47014" w:rsidP="00D47014">
      <w:pPr>
        <w:pStyle w:val="ListParagraph"/>
        <w:widowControl/>
        <w:tabs>
          <w:tab w:val="left" w:pos="-1080"/>
          <w:tab w:val="left" w:pos="-720"/>
          <w:tab w:val="left" w:pos="540"/>
          <w:tab w:val="left" w:pos="2880"/>
          <w:tab w:val="left" w:pos="4092"/>
        </w:tabs>
        <w:ind w:left="2160" w:hanging="540"/>
        <w:rPr>
          <w:rFonts w:cs="Arial"/>
          <w:szCs w:val="24"/>
          <w:lang w:val="es-419"/>
        </w:rPr>
      </w:pPr>
      <w:r w:rsidRPr="0078598D">
        <w:rPr>
          <w:lang w:val="es-419"/>
        </w:rPr>
        <w:t>1.</w:t>
      </w:r>
      <w:r w:rsidRPr="0078598D">
        <w:rPr>
          <w:lang w:val="es-419"/>
        </w:rPr>
        <w:tab/>
        <w:t xml:space="preserve"> Sospecha de fraude al seguro</w:t>
      </w:r>
    </w:p>
    <w:p w14:paraId="5BD87347" w14:textId="3502AEA9" w:rsidR="00D47014" w:rsidRPr="0078598D" w:rsidRDefault="00D47014" w:rsidP="00D47014">
      <w:pPr>
        <w:tabs>
          <w:tab w:val="left" w:pos="-1440"/>
        </w:tabs>
        <w:ind w:left="2700" w:hanging="540"/>
        <w:rPr>
          <w:rFonts w:cs="Arial"/>
          <w:szCs w:val="24"/>
          <w:lang w:val="es-419"/>
        </w:rPr>
      </w:pPr>
      <w:r w:rsidRPr="0078598D">
        <w:rPr>
          <w:lang w:val="es-419"/>
        </w:rPr>
        <w:t>a.</w:t>
      </w:r>
      <w:r w:rsidRPr="0078598D">
        <w:rPr>
          <w:lang w:val="es-419"/>
        </w:rPr>
        <w:tab/>
        <w:t>Poder identificar:</w:t>
      </w:r>
    </w:p>
    <w:p w14:paraId="19CB6275" w14:textId="0320AEC7" w:rsidR="00D47014" w:rsidRPr="0078598D" w:rsidRDefault="00D47014" w:rsidP="00D47014">
      <w:pPr>
        <w:tabs>
          <w:tab w:val="left" w:pos="-1440"/>
        </w:tabs>
        <w:ind w:left="3240" w:hanging="540"/>
        <w:rPr>
          <w:rFonts w:cs="Arial"/>
          <w:szCs w:val="24"/>
          <w:lang w:val="es-419"/>
        </w:rPr>
      </w:pPr>
      <w:r w:rsidRPr="0078598D">
        <w:rPr>
          <w:lang w:val="es-419"/>
        </w:rPr>
        <w:t>i.</w:t>
      </w:r>
      <w:r w:rsidRPr="0078598D">
        <w:rPr>
          <w:lang w:val="es-419"/>
        </w:rPr>
        <w:tab/>
        <w:t>Circunstancias comunes que sugerirían la posibilidad de fraude</w:t>
      </w:r>
    </w:p>
    <w:p w14:paraId="2A8CD90E" w14:textId="42F357FF" w:rsidR="002A036E" w:rsidRDefault="00D47014" w:rsidP="00D47014">
      <w:pPr>
        <w:tabs>
          <w:tab w:val="left" w:pos="-1440"/>
        </w:tabs>
        <w:ind w:left="3240" w:hanging="540"/>
        <w:rPr>
          <w:lang w:val="es-419"/>
        </w:rPr>
      </w:pPr>
      <w:r w:rsidRPr="0078598D">
        <w:rPr>
          <w:lang w:val="es-419"/>
        </w:rPr>
        <w:t>ii.</w:t>
      </w:r>
      <w:r w:rsidRPr="0078598D">
        <w:rPr>
          <w:lang w:val="es-419"/>
        </w:rPr>
        <w:tab/>
        <w:t>Iniciativas para combatir el fraude:</w:t>
      </w:r>
    </w:p>
    <w:p w14:paraId="04003960" w14:textId="77777777" w:rsidR="002A036E" w:rsidRDefault="002A036E">
      <w:pPr>
        <w:widowControl/>
        <w:rPr>
          <w:lang w:val="es-419"/>
        </w:rPr>
      </w:pPr>
      <w:r>
        <w:rPr>
          <w:lang w:val="es-419"/>
        </w:rPr>
        <w:br w:type="page"/>
      </w:r>
    </w:p>
    <w:p w14:paraId="786FAA8D" w14:textId="77777777" w:rsidR="00D47014" w:rsidRPr="0078598D" w:rsidRDefault="00D47014" w:rsidP="00D47014">
      <w:pPr>
        <w:pStyle w:val="ListParagraph"/>
        <w:tabs>
          <w:tab w:val="left" w:pos="-1440"/>
          <w:tab w:val="left" w:pos="2700"/>
        </w:tabs>
        <w:ind w:left="3780" w:hanging="540"/>
        <w:rPr>
          <w:rFonts w:cs="Arial"/>
          <w:szCs w:val="24"/>
          <w:lang w:val="es-419"/>
        </w:rPr>
      </w:pPr>
      <w:r w:rsidRPr="0078598D">
        <w:rPr>
          <w:lang w:val="es-419"/>
        </w:rPr>
        <w:lastRenderedPageBreak/>
        <w:t xml:space="preserve">1. </w:t>
      </w:r>
      <w:r w:rsidRPr="0078598D">
        <w:rPr>
          <w:lang w:val="es-419"/>
        </w:rPr>
        <w:tab/>
        <w:t>División de fraude, art. 1872 del Código de Seguros de California</w:t>
      </w:r>
    </w:p>
    <w:p w14:paraId="6EEED376" w14:textId="77777777" w:rsidR="00D47014" w:rsidRPr="0078598D" w:rsidRDefault="00D47014" w:rsidP="00D47014">
      <w:pPr>
        <w:pStyle w:val="ListParagraph"/>
        <w:tabs>
          <w:tab w:val="left" w:pos="-1440"/>
          <w:tab w:val="left" w:pos="2700"/>
        </w:tabs>
        <w:ind w:left="3780" w:hanging="540"/>
        <w:rPr>
          <w:rFonts w:cs="Arial"/>
          <w:szCs w:val="24"/>
          <w:lang w:val="es-419"/>
        </w:rPr>
      </w:pPr>
      <w:r w:rsidRPr="0078598D">
        <w:rPr>
          <w:lang w:val="es-419"/>
        </w:rPr>
        <w:t xml:space="preserve">2. </w:t>
      </w:r>
      <w:r w:rsidRPr="0078598D">
        <w:rPr>
          <w:lang w:val="es-419"/>
        </w:rPr>
        <w:tab/>
        <w:t xml:space="preserve">Sistema de Información Arson, art. 1875.8 del Código de Seguros de California </w:t>
      </w:r>
    </w:p>
    <w:p w14:paraId="5B3359F7" w14:textId="77777777" w:rsidR="00D47014" w:rsidRPr="0078598D" w:rsidRDefault="00D47014" w:rsidP="00D47014">
      <w:pPr>
        <w:pStyle w:val="ListParagraph"/>
        <w:tabs>
          <w:tab w:val="left" w:pos="-1440"/>
          <w:tab w:val="left" w:pos="2700"/>
        </w:tabs>
        <w:ind w:left="3780" w:hanging="540"/>
        <w:rPr>
          <w:rFonts w:cs="Arial"/>
          <w:szCs w:val="24"/>
          <w:lang w:val="es-419"/>
        </w:rPr>
      </w:pPr>
      <w:r w:rsidRPr="0078598D">
        <w:rPr>
          <w:lang w:val="es-419"/>
        </w:rPr>
        <w:t xml:space="preserve">3. </w:t>
      </w:r>
      <w:r w:rsidRPr="0078598D">
        <w:rPr>
          <w:lang w:val="es-419"/>
        </w:rPr>
        <w:tab/>
        <w:t>Oficina de Análisis de Reclamos, art. 1875.14 del Código de Seguros de California</w:t>
      </w:r>
    </w:p>
    <w:p w14:paraId="5C0F3B8F" w14:textId="5BC6FEAE" w:rsidR="00D47014" w:rsidRPr="0078598D" w:rsidRDefault="00D47014" w:rsidP="00D47014">
      <w:pPr>
        <w:pStyle w:val="ListParagraph"/>
        <w:tabs>
          <w:tab w:val="left" w:pos="-1440"/>
          <w:tab w:val="left" w:pos="2700"/>
        </w:tabs>
        <w:ind w:left="3780" w:hanging="540"/>
        <w:rPr>
          <w:rFonts w:cs="Arial"/>
          <w:szCs w:val="24"/>
          <w:lang w:val="es-419"/>
        </w:rPr>
      </w:pPr>
      <w:r w:rsidRPr="0078598D">
        <w:rPr>
          <w:lang w:val="es-419"/>
        </w:rPr>
        <w:t xml:space="preserve">4. </w:t>
      </w:r>
      <w:r w:rsidRPr="0078598D">
        <w:rPr>
          <w:lang w:val="es-419"/>
        </w:rPr>
        <w:tab/>
        <w:t xml:space="preserve">Unidades de Investigaciones Especiales, según el art. 1875.20 del Código de Seguros de California </w:t>
      </w:r>
    </w:p>
    <w:p w14:paraId="4F6CCD31" w14:textId="2FB2B763" w:rsidR="00D47014" w:rsidRPr="0078598D" w:rsidRDefault="00D47014" w:rsidP="00D47014">
      <w:pPr>
        <w:tabs>
          <w:tab w:val="left" w:pos="-1440"/>
        </w:tabs>
        <w:ind w:left="3150" w:hanging="450"/>
        <w:rPr>
          <w:rFonts w:cs="Arial"/>
          <w:szCs w:val="24"/>
          <w:lang w:val="es-419"/>
        </w:rPr>
      </w:pPr>
      <w:r w:rsidRPr="0078598D">
        <w:rPr>
          <w:lang w:val="es-419"/>
        </w:rPr>
        <w:t>iii.</w:t>
      </w:r>
      <w:r w:rsidRPr="0078598D">
        <w:rPr>
          <w:lang w:val="es-419"/>
        </w:rPr>
        <w:tab/>
        <w:t>Que si un asegurado firma un formulario de reclamo fraudulento, el asegurado puede ser culpable de perjurio, art. 1871.2 al 1871.3 del Código de Seguros de California</w:t>
      </w:r>
    </w:p>
    <w:p w14:paraId="1C08AE64" w14:textId="76320D5B" w:rsidR="00D47014" w:rsidRPr="0078598D" w:rsidRDefault="00D47014" w:rsidP="00D47014">
      <w:pPr>
        <w:pStyle w:val="Quick1"/>
        <w:numPr>
          <w:ilvl w:val="0"/>
          <w:numId w:val="0"/>
        </w:numPr>
        <w:tabs>
          <w:tab w:val="left" w:pos="-1440"/>
          <w:tab w:val="num" w:pos="720"/>
          <w:tab w:val="left" w:pos="2160"/>
        </w:tabs>
        <w:ind w:left="2700" w:hanging="540"/>
        <w:rPr>
          <w:rFonts w:cs="Arial"/>
          <w:szCs w:val="24"/>
          <w:lang w:val="es-419"/>
        </w:rPr>
      </w:pPr>
      <w:r w:rsidRPr="0078598D">
        <w:rPr>
          <w:lang w:val="es-419"/>
        </w:rPr>
        <w:t>b.</w:t>
      </w:r>
      <w:r w:rsidRPr="0078598D">
        <w:rPr>
          <w:lang w:val="es-419"/>
        </w:rPr>
        <w:tab/>
        <w:t xml:space="preserve">Poder identificar el alcance y la aplicación correcta del artículo de reclamaciones falsas y fraudulentas, art. 1871 y 1871.4 del Código de Seguros de California </w:t>
      </w:r>
    </w:p>
    <w:p w14:paraId="6C7D4982" w14:textId="363EC1E2" w:rsidR="00D47014" w:rsidRPr="0078598D" w:rsidRDefault="00D47014" w:rsidP="002A036E">
      <w:pPr>
        <w:pStyle w:val="Quick1"/>
        <w:numPr>
          <w:ilvl w:val="0"/>
          <w:numId w:val="0"/>
        </w:numPr>
        <w:tabs>
          <w:tab w:val="left" w:pos="-1440"/>
          <w:tab w:val="num" w:pos="720"/>
        </w:tabs>
        <w:ind w:left="2700" w:hanging="540"/>
        <w:rPr>
          <w:rFonts w:cs="Arial"/>
          <w:szCs w:val="24"/>
          <w:lang w:val="es-419"/>
        </w:rPr>
      </w:pPr>
      <w:r w:rsidRPr="0078598D">
        <w:rPr>
          <w:lang w:val="es-419"/>
        </w:rPr>
        <w:t>c.</w:t>
      </w:r>
      <w:r w:rsidRPr="0078598D">
        <w:rPr>
          <w:lang w:val="es-419"/>
        </w:rPr>
        <w:tab/>
        <w:t>Poder describir los pasos que debe seguir un agente con licencia cuando hay sospecha de fraude, art. 1872.41 del Código de Seguros de California</w:t>
      </w:r>
    </w:p>
    <w:sectPr w:rsidR="00D47014" w:rsidRPr="0078598D" w:rsidSect="001F21F6">
      <w:headerReference w:type="default" r:id="rId10"/>
      <w:footerReference w:type="default" r:id="rId11"/>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ED2B" w14:textId="77777777" w:rsidR="008F73FB" w:rsidRDefault="008F73FB">
      <w:r>
        <w:separator/>
      </w:r>
    </w:p>
  </w:endnote>
  <w:endnote w:type="continuationSeparator" w:id="0">
    <w:p w14:paraId="10D5B3A4" w14:textId="77777777" w:rsidR="008F73FB" w:rsidRDefault="008F73FB">
      <w:r>
        <w:continuationSeparator/>
      </w:r>
    </w:p>
  </w:endnote>
  <w:endnote w:type="continuationNotice" w:id="1">
    <w:p w14:paraId="0BE8CBAE" w14:textId="77777777" w:rsidR="008F73FB" w:rsidRDefault="008F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0268" w14:textId="132A147E" w:rsidR="00057F4E" w:rsidRPr="00AB1F13" w:rsidRDefault="00057F4E" w:rsidP="00460A01">
    <w:pPr>
      <w:pStyle w:val="zzTrailerDocName"/>
      <w:ind w:left="0" w:firstLine="0"/>
      <w:rPr>
        <w:rStyle w:val="PageNumber"/>
        <w:sz w:val="20"/>
      </w:rPr>
    </w:pPr>
    <w:r>
      <w:rPr>
        <w:sz w:val="18"/>
      </w:rPr>
      <w:t xml:space="preserve">Revisado </w:t>
    </w:r>
    <w:r>
      <w:rPr>
        <w:rStyle w:val="PageNumber"/>
        <w:sz w:val="18"/>
      </w:rPr>
      <w:t xml:space="preserve">el 30 de octubre de 2022 </w:t>
    </w:r>
    <w:r>
      <w:rPr>
        <w:rStyle w:val="PageNumber"/>
        <w:sz w:val="18"/>
      </w:rPr>
      <w:tab/>
    </w:r>
    <w:r>
      <w:rPr>
        <w:rStyle w:val="PageNumber"/>
        <w:sz w:val="18"/>
      </w:rPr>
      <w:tab/>
    </w:r>
    <w:r>
      <w:rPr>
        <w:rStyle w:val="PageNumber"/>
        <w:sz w:val="18"/>
      </w:rPr>
      <w:tab/>
    </w:r>
    <w:r>
      <w:rPr>
        <w:rStyle w:val="PageNumber"/>
        <w:sz w:val="18"/>
      </w:rPr>
      <w:tab/>
      <w:t xml:space="preserve">                                                                         Ética – </w:t>
    </w:r>
    <w:r>
      <w:rPr>
        <w:rStyle w:val="PageNumber"/>
        <w:sz w:val="20"/>
      </w:rPr>
      <w:t xml:space="preserve">página </w:t>
    </w:r>
    <w:r w:rsidRPr="00A40DE8">
      <w:rPr>
        <w:rStyle w:val="PageNumber"/>
        <w:sz w:val="18"/>
      </w:rPr>
      <w:fldChar w:fldCharType="begin"/>
    </w:r>
    <w:r w:rsidRPr="00A40DE8">
      <w:rPr>
        <w:rStyle w:val="PageNumber"/>
        <w:sz w:val="18"/>
      </w:rPr>
      <w:instrText xml:space="preserve"> PAGE </w:instrText>
    </w:r>
    <w:r w:rsidRPr="00A40DE8">
      <w:rPr>
        <w:rStyle w:val="PageNumber"/>
        <w:sz w:val="18"/>
      </w:rPr>
      <w:fldChar w:fldCharType="separate"/>
    </w:r>
    <w:r>
      <w:rPr>
        <w:rStyle w:val="PageNumber"/>
        <w:sz w:val="18"/>
      </w:rPr>
      <w:t>11</w:t>
    </w:r>
    <w:r w:rsidRPr="00A40DE8">
      <w:rPr>
        <w:rStyle w:val="PageNumber"/>
        <w:sz w:val="18"/>
      </w:rPr>
      <w:fldChar w:fldCharType="end"/>
    </w:r>
  </w:p>
  <w:p w14:paraId="4C6E3010" w14:textId="77777777" w:rsidR="00057F4E" w:rsidRDefault="00057F4E">
    <w:pPr>
      <w:spacing w:line="174" w:lineRule="exact"/>
      <w:rPr>
        <w:rStyle w:val="PageNumber"/>
        <w:sz w:val="16"/>
      </w:rPr>
    </w:pPr>
    <w:r>
      <w:rPr>
        <w:rStyle w:val="PageNumbe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486D" w14:textId="77777777" w:rsidR="008F73FB" w:rsidRDefault="008F73FB">
      <w:r>
        <w:separator/>
      </w:r>
    </w:p>
  </w:footnote>
  <w:footnote w:type="continuationSeparator" w:id="0">
    <w:p w14:paraId="684EA12F" w14:textId="77777777" w:rsidR="008F73FB" w:rsidRDefault="008F73FB">
      <w:r>
        <w:continuationSeparator/>
      </w:r>
    </w:p>
  </w:footnote>
  <w:footnote w:type="continuationNotice" w:id="1">
    <w:p w14:paraId="782E506B" w14:textId="77777777" w:rsidR="008F73FB" w:rsidRDefault="008F7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6DB8" w14:textId="34004116" w:rsidR="00057F4E" w:rsidRPr="00004328" w:rsidRDefault="00057F4E" w:rsidP="00B213C6">
    <w:pPr>
      <w:pStyle w:val="Heading3"/>
      <w:jc w:val="center"/>
      <w:rPr>
        <w:b w:val="0"/>
        <w:sz w:val="44"/>
        <w:u w:val="none"/>
      </w:rPr>
    </w:pPr>
    <w:r>
      <w:rPr>
        <w:b w:val="0"/>
        <w:noProof/>
        <w:snapToGrid/>
      </w:rPr>
      <mc:AlternateContent>
        <mc:Choice Requires="wps">
          <w:drawing>
            <wp:anchor distT="0" distB="0" distL="114300" distR="114300" simplePos="0" relativeHeight="251657216" behindDoc="1" locked="1" layoutInCell="0" allowOverlap="1" wp14:anchorId="42883525" wp14:editId="7E6B9C3D">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7FA7"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CZ+NXd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r>
      <w:rPr>
        <w:b w:val="0"/>
        <w:sz w:val="44"/>
        <w:u w:val="none"/>
      </w:rPr>
      <w:t>Objetivos de aprendizaje del curso</w:t>
    </w:r>
    <w:r w:rsidR="0078598D">
      <w:rPr>
        <w:b w:val="0"/>
        <w:sz w:val="44"/>
        <w:u w:val="none"/>
      </w:rPr>
      <w:br/>
    </w:r>
    <w:r>
      <w:rPr>
        <w:b w:val="0"/>
        <w:sz w:val="44"/>
        <w:u w:val="none"/>
      </w:rPr>
      <w:t>de 12 horas</w:t>
    </w:r>
    <w:r w:rsidR="0078598D">
      <w:rPr>
        <w:b w:val="0"/>
        <w:sz w:val="44"/>
        <w:u w:val="none"/>
      </w:rPr>
      <w:t xml:space="preserve"> </w:t>
    </w:r>
    <w:r>
      <w:rPr>
        <w:b w:val="0"/>
        <w:sz w:val="44"/>
        <w:u w:val="none"/>
      </w:rPr>
      <w:t>sobre el</w:t>
    </w:r>
    <w:r w:rsidR="0078598D">
      <w:rPr>
        <w:b w:val="0"/>
        <w:sz w:val="44"/>
        <w:u w:val="none"/>
      </w:rPr>
      <w:t xml:space="preserve"> </w:t>
    </w:r>
    <w:r>
      <w:rPr>
        <w:b w:val="0"/>
        <w:sz w:val="44"/>
        <w:u w:val="none"/>
      </w:rPr>
      <w:t>Código</w:t>
    </w:r>
    <w:r w:rsidR="0078598D">
      <w:rPr>
        <w:b w:val="0"/>
        <w:sz w:val="44"/>
        <w:u w:val="none"/>
      </w:rPr>
      <w:t xml:space="preserve"> </w:t>
    </w:r>
    <w:r>
      <w:rPr>
        <w:b w:val="0"/>
        <w:sz w:val="44"/>
        <w:u w:val="none"/>
      </w:rPr>
      <w:t>de Ética</w:t>
    </w:r>
    <w:r w:rsidR="0078598D">
      <w:rPr>
        <w:b w:val="0"/>
        <w:sz w:val="44"/>
        <w:u w:val="none"/>
      </w:rPr>
      <w:br/>
    </w:r>
    <w:r>
      <w:rPr>
        <w:b w:val="0"/>
        <w:sz w:val="44"/>
        <w:u w:val="none"/>
      </w:rPr>
      <w:t>y de Seguros de California</w:t>
    </w:r>
  </w:p>
  <w:p w14:paraId="7CF72C58" w14:textId="77777777" w:rsidR="00057F4E" w:rsidRPr="00EC2097" w:rsidRDefault="00057F4E" w:rsidP="00EC2097"/>
  <w:p w14:paraId="316D1997" w14:textId="77777777" w:rsidR="00057F4E" w:rsidRDefault="00057F4E" w:rsidP="00B213C6">
    <w:pPr>
      <w:pStyle w:val="Header"/>
      <w:jc w:val="center"/>
    </w:pPr>
    <w:r>
      <w:rPr>
        <w:noProof/>
        <w:snapToGrid/>
      </w:rPr>
      <mc:AlternateContent>
        <mc:Choice Requires="wps">
          <w:drawing>
            <wp:anchor distT="0" distB="0" distL="114300" distR="114300" simplePos="0" relativeHeight="251658240" behindDoc="0" locked="0" layoutInCell="1" allowOverlap="1" wp14:anchorId="0155BB29" wp14:editId="50F9D60E">
              <wp:simplePos x="0" y="0"/>
              <wp:positionH relativeFrom="column">
                <wp:posOffset>51435</wp:posOffset>
              </wp:positionH>
              <wp:positionV relativeFrom="paragraph">
                <wp:posOffset>63500</wp:posOffset>
              </wp:positionV>
              <wp:extent cx="5829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F88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46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10A4DA6A">
      <w:start w:val="1"/>
      <w:numFmt w:val="lowerLetter"/>
      <w:lvlText w:val="%1."/>
      <w:lvlJc w:val="left"/>
      <w:pPr>
        <w:tabs>
          <w:tab w:val="num" w:pos="1440"/>
        </w:tabs>
        <w:ind w:left="1440" w:hanging="720"/>
      </w:pPr>
      <w:rPr>
        <w:rFonts w:hint="default"/>
      </w:rPr>
    </w:lvl>
    <w:lvl w:ilvl="1" w:tplc="9AFA052A">
      <w:start w:val="1"/>
      <w:numFmt w:val="lowerRoman"/>
      <w:lvlText w:val="%2."/>
      <w:lvlJc w:val="left"/>
      <w:pPr>
        <w:tabs>
          <w:tab w:val="num" w:pos="2160"/>
        </w:tabs>
        <w:ind w:left="2160" w:hanging="720"/>
      </w:pPr>
      <w:rPr>
        <w:rFonts w:hint="default"/>
      </w:rPr>
    </w:lvl>
    <w:lvl w:ilvl="2" w:tplc="657CBBF6" w:tentative="1">
      <w:start w:val="1"/>
      <w:numFmt w:val="lowerRoman"/>
      <w:lvlText w:val="%3."/>
      <w:lvlJc w:val="right"/>
      <w:pPr>
        <w:tabs>
          <w:tab w:val="num" w:pos="2520"/>
        </w:tabs>
        <w:ind w:left="2520" w:hanging="180"/>
      </w:pPr>
    </w:lvl>
    <w:lvl w:ilvl="3" w:tplc="676883C6" w:tentative="1">
      <w:start w:val="1"/>
      <w:numFmt w:val="decimal"/>
      <w:lvlText w:val="%4."/>
      <w:lvlJc w:val="left"/>
      <w:pPr>
        <w:tabs>
          <w:tab w:val="num" w:pos="3240"/>
        </w:tabs>
        <w:ind w:left="3240" w:hanging="360"/>
      </w:pPr>
    </w:lvl>
    <w:lvl w:ilvl="4" w:tplc="B46068E8" w:tentative="1">
      <w:start w:val="1"/>
      <w:numFmt w:val="lowerLetter"/>
      <w:lvlText w:val="%5."/>
      <w:lvlJc w:val="left"/>
      <w:pPr>
        <w:tabs>
          <w:tab w:val="num" w:pos="3960"/>
        </w:tabs>
        <w:ind w:left="3960" w:hanging="360"/>
      </w:pPr>
    </w:lvl>
    <w:lvl w:ilvl="5" w:tplc="10FA975A" w:tentative="1">
      <w:start w:val="1"/>
      <w:numFmt w:val="lowerRoman"/>
      <w:lvlText w:val="%6."/>
      <w:lvlJc w:val="right"/>
      <w:pPr>
        <w:tabs>
          <w:tab w:val="num" w:pos="4680"/>
        </w:tabs>
        <w:ind w:left="4680" w:hanging="180"/>
      </w:pPr>
    </w:lvl>
    <w:lvl w:ilvl="6" w:tplc="C7BE51BE" w:tentative="1">
      <w:start w:val="1"/>
      <w:numFmt w:val="decimal"/>
      <w:lvlText w:val="%7."/>
      <w:lvlJc w:val="left"/>
      <w:pPr>
        <w:tabs>
          <w:tab w:val="num" w:pos="5400"/>
        </w:tabs>
        <w:ind w:left="5400" w:hanging="360"/>
      </w:pPr>
    </w:lvl>
    <w:lvl w:ilvl="7" w:tplc="63D2D276" w:tentative="1">
      <w:start w:val="1"/>
      <w:numFmt w:val="lowerLetter"/>
      <w:lvlText w:val="%8."/>
      <w:lvlJc w:val="left"/>
      <w:pPr>
        <w:tabs>
          <w:tab w:val="num" w:pos="6120"/>
        </w:tabs>
        <w:ind w:left="6120" w:hanging="360"/>
      </w:pPr>
    </w:lvl>
    <w:lvl w:ilvl="8" w:tplc="733C55D0" w:tentative="1">
      <w:start w:val="1"/>
      <w:numFmt w:val="lowerRoman"/>
      <w:lvlText w:val="%9."/>
      <w:lvlJc w:val="right"/>
      <w:pPr>
        <w:tabs>
          <w:tab w:val="num" w:pos="6840"/>
        </w:tabs>
        <w:ind w:left="6840" w:hanging="180"/>
      </w:pPr>
    </w:lvl>
  </w:abstractNum>
  <w:abstractNum w:abstractNumId="2" w15:restartNumberingAfterBreak="0">
    <w:nsid w:val="09397CAC"/>
    <w:multiLevelType w:val="hybridMultilevel"/>
    <w:tmpl w:val="CCE4DC22"/>
    <w:lvl w:ilvl="0" w:tplc="47BA07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D0DA5"/>
    <w:multiLevelType w:val="hybridMultilevel"/>
    <w:tmpl w:val="29669C9C"/>
    <w:lvl w:ilvl="0" w:tplc="422A9F74">
      <w:start w:val="5"/>
      <w:numFmt w:val="lowerLetter"/>
      <w:lvlText w:val="%1."/>
      <w:lvlJc w:val="left"/>
      <w:pPr>
        <w:tabs>
          <w:tab w:val="num" w:pos="1440"/>
        </w:tabs>
        <w:ind w:left="1440" w:hanging="720"/>
      </w:pPr>
      <w:rPr>
        <w:rFonts w:hint="default"/>
      </w:rPr>
    </w:lvl>
    <w:lvl w:ilvl="1" w:tplc="AF5025EC" w:tentative="1">
      <w:start w:val="1"/>
      <w:numFmt w:val="lowerLetter"/>
      <w:lvlText w:val="%2."/>
      <w:lvlJc w:val="left"/>
      <w:pPr>
        <w:tabs>
          <w:tab w:val="num" w:pos="1800"/>
        </w:tabs>
        <w:ind w:left="1800" w:hanging="360"/>
      </w:pPr>
    </w:lvl>
    <w:lvl w:ilvl="2" w:tplc="402431CC" w:tentative="1">
      <w:start w:val="1"/>
      <w:numFmt w:val="lowerRoman"/>
      <w:lvlText w:val="%3."/>
      <w:lvlJc w:val="right"/>
      <w:pPr>
        <w:tabs>
          <w:tab w:val="num" w:pos="2520"/>
        </w:tabs>
        <w:ind w:left="2520" w:hanging="180"/>
      </w:pPr>
    </w:lvl>
    <w:lvl w:ilvl="3" w:tplc="EC30A3BC" w:tentative="1">
      <w:start w:val="1"/>
      <w:numFmt w:val="decimal"/>
      <w:lvlText w:val="%4."/>
      <w:lvlJc w:val="left"/>
      <w:pPr>
        <w:tabs>
          <w:tab w:val="num" w:pos="3240"/>
        </w:tabs>
        <w:ind w:left="3240" w:hanging="360"/>
      </w:pPr>
    </w:lvl>
    <w:lvl w:ilvl="4" w:tplc="0A6AC162" w:tentative="1">
      <w:start w:val="1"/>
      <w:numFmt w:val="lowerLetter"/>
      <w:lvlText w:val="%5."/>
      <w:lvlJc w:val="left"/>
      <w:pPr>
        <w:tabs>
          <w:tab w:val="num" w:pos="3960"/>
        </w:tabs>
        <w:ind w:left="3960" w:hanging="360"/>
      </w:pPr>
    </w:lvl>
    <w:lvl w:ilvl="5" w:tplc="5FB29C14" w:tentative="1">
      <w:start w:val="1"/>
      <w:numFmt w:val="lowerRoman"/>
      <w:lvlText w:val="%6."/>
      <w:lvlJc w:val="right"/>
      <w:pPr>
        <w:tabs>
          <w:tab w:val="num" w:pos="4680"/>
        </w:tabs>
        <w:ind w:left="4680" w:hanging="180"/>
      </w:pPr>
    </w:lvl>
    <w:lvl w:ilvl="6" w:tplc="10D65542" w:tentative="1">
      <w:start w:val="1"/>
      <w:numFmt w:val="decimal"/>
      <w:lvlText w:val="%7."/>
      <w:lvlJc w:val="left"/>
      <w:pPr>
        <w:tabs>
          <w:tab w:val="num" w:pos="5400"/>
        </w:tabs>
        <w:ind w:left="5400" w:hanging="360"/>
      </w:pPr>
    </w:lvl>
    <w:lvl w:ilvl="7" w:tplc="27DC8D48" w:tentative="1">
      <w:start w:val="1"/>
      <w:numFmt w:val="lowerLetter"/>
      <w:lvlText w:val="%8."/>
      <w:lvlJc w:val="left"/>
      <w:pPr>
        <w:tabs>
          <w:tab w:val="num" w:pos="6120"/>
        </w:tabs>
        <w:ind w:left="6120" w:hanging="360"/>
      </w:pPr>
    </w:lvl>
    <w:lvl w:ilvl="8" w:tplc="9B9C3998" w:tentative="1">
      <w:start w:val="1"/>
      <w:numFmt w:val="lowerRoman"/>
      <w:lvlText w:val="%9."/>
      <w:lvlJc w:val="right"/>
      <w:pPr>
        <w:tabs>
          <w:tab w:val="num" w:pos="6840"/>
        </w:tabs>
        <w:ind w:left="6840" w:hanging="180"/>
      </w:pPr>
    </w:lvl>
  </w:abstractNum>
  <w:abstractNum w:abstractNumId="4"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5"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6" w15:restartNumberingAfterBreak="0">
    <w:nsid w:val="0ECB3392"/>
    <w:multiLevelType w:val="hybridMultilevel"/>
    <w:tmpl w:val="64AA41F8"/>
    <w:lvl w:ilvl="0" w:tplc="2F843E26">
      <w:start w:val="1"/>
      <w:numFmt w:val="decimal"/>
      <w:lvlText w:val="%1."/>
      <w:lvlJc w:val="left"/>
      <w:pPr>
        <w:tabs>
          <w:tab w:val="num" w:pos="720"/>
        </w:tabs>
        <w:ind w:left="720" w:hanging="360"/>
      </w:pPr>
    </w:lvl>
    <w:lvl w:ilvl="1" w:tplc="9B463DC6" w:tentative="1">
      <w:start w:val="1"/>
      <w:numFmt w:val="lowerLetter"/>
      <w:lvlText w:val="%2."/>
      <w:lvlJc w:val="left"/>
      <w:pPr>
        <w:tabs>
          <w:tab w:val="num" w:pos="1440"/>
        </w:tabs>
        <w:ind w:left="1440" w:hanging="360"/>
      </w:pPr>
    </w:lvl>
    <w:lvl w:ilvl="2" w:tplc="65329DCE" w:tentative="1">
      <w:start w:val="1"/>
      <w:numFmt w:val="lowerRoman"/>
      <w:lvlText w:val="%3."/>
      <w:lvlJc w:val="right"/>
      <w:pPr>
        <w:tabs>
          <w:tab w:val="num" w:pos="2160"/>
        </w:tabs>
        <w:ind w:left="2160" w:hanging="180"/>
      </w:pPr>
    </w:lvl>
    <w:lvl w:ilvl="3" w:tplc="748C8F5E" w:tentative="1">
      <w:start w:val="1"/>
      <w:numFmt w:val="decimal"/>
      <w:lvlText w:val="%4."/>
      <w:lvlJc w:val="left"/>
      <w:pPr>
        <w:tabs>
          <w:tab w:val="num" w:pos="2880"/>
        </w:tabs>
        <w:ind w:left="2880" w:hanging="360"/>
      </w:pPr>
    </w:lvl>
    <w:lvl w:ilvl="4" w:tplc="989C16A0" w:tentative="1">
      <w:start w:val="1"/>
      <w:numFmt w:val="lowerLetter"/>
      <w:lvlText w:val="%5."/>
      <w:lvlJc w:val="left"/>
      <w:pPr>
        <w:tabs>
          <w:tab w:val="num" w:pos="3600"/>
        </w:tabs>
        <w:ind w:left="3600" w:hanging="360"/>
      </w:pPr>
    </w:lvl>
    <w:lvl w:ilvl="5" w:tplc="7FB2732C" w:tentative="1">
      <w:start w:val="1"/>
      <w:numFmt w:val="lowerRoman"/>
      <w:lvlText w:val="%6."/>
      <w:lvlJc w:val="right"/>
      <w:pPr>
        <w:tabs>
          <w:tab w:val="num" w:pos="4320"/>
        </w:tabs>
        <w:ind w:left="4320" w:hanging="180"/>
      </w:pPr>
    </w:lvl>
    <w:lvl w:ilvl="6" w:tplc="F2DEB482" w:tentative="1">
      <w:start w:val="1"/>
      <w:numFmt w:val="decimal"/>
      <w:lvlText w:val="%7."/>
      <w:lvlJc w:val="left"/>
      <w:pPr>
        <w:tabs>
          <w:tab w:val="num" w:pos="5040"/>
        </w:tabs>
        <w:ind w:left="5040" w:hanging="360"/>
      </w:pPr>
    </w:lvl>
    <w:lvl w:ilvl="7" w:tplc="862856C8" w:tentative="1">
      <w:start w:val="1"/>
      <w:numFmt w:val="lowerLetter"/>
      <w:lvlText w:val="%8."/>
      <w:lvlJc w:val="left"/>
      <w:pPr>
        <w:tabs>
          <w:tab w:val="num" w:pos="5760"/>
        </w:tabs>
        <w:ind w:left="5760" w:hanging="360"/>
      </w:pPr>
    </w:lvl>
    <w:lvl w:ilvl="8" w:tplc="C6F2A832" w:tentative="1">
      <w:start w:val="1"/>
      <w:numFmt w:val="lowerRoman"/>
      <w:lvlText w:val="%9."/>
      <w:lvlJc w:val="right"/>
      <w:pPr>
        <w:tabs>
          <w:tab w:val="num" w:pos="6480"/>
        </w:tabs>
        <w:ind w:left="6480" w:hanging="180"/>
      </w:pPr>
    </w:lvl>
  </w:abstractNum>
  <w:abstractNum w:abstractNumId="7"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8" w15:restartNumberingAfterBreak="0">
    <w:nsid w:val="15B44797"/>
    <w:multiLevelType w:val="hybridMultilevel"/>
    <w:tmpl w:val="B7806288"/>
    <w:lvl w:ilvl="0" w:tplc="2A40489A">
      <w:start w:val="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1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A0764"/>
    <w:multiLevelType w:val="hybridMultilevel"/>
    <w:tmpl w:val="539E28EE"/>
    <w:lvl w:ilvl="0" w:tplc="6B340CB8">
      <w:start w:val="1"/>
      <w:numFmt w:val="lowerLetter"/>
      <w:lvlText w:val="%1."/>
      <w:lvlJc w:val="left"/>
      <w:pPr>
        <w:tabs>
          <w:tab w:val="num" w:pos="1440"/>
        </w:tabs>
        <w:ind w:left="1440" w:hanging="720"/>
      </w:pPr>
      <w:rPr>
        <w:rFonts w:hint="default"/>
      </w:rPr>
    </w:lvl>
    <w:lvl w:ilvl="1" w:tplc="2D0A46EE" w:tentative="1">
      <w:start w:val="1"/>
      <w:numFmt w:val="lowerLetter"/>
      <w:lvlText w:val="%2."/>
      <w:lvlJc w:val="left"/>
      <w:pPr>
        <w:tabs>
          <w:tab w:val="num" w:pos="1800"/>
        </w:tabs>
        <w:ind w:left="1800" w:hanging="360"/>
      </w:pPr>
    </w:lvl>
    <w:lvl w:ilvl="2" w:tplc="98C8C56A" w:tentative="1">
      <w:start w:val="1"/>
      <w:numFmt w:val="lowerRoman"/>
      <w:lvlText w:val="%3."/>
      <w:lvlJc w:val="right"/>
      <w:pPr>
        <w:tabs>
          <w:tab w:val="num" w:pos="2520"/>
        </w:tabs>
        <w:ind w:left="2520" w:hanging="180"/>
      </w:pPr>
    </w:lvl>
    <w:lvl w:ilvl="3" w:tplc="F876876A" w:tentative="1">
      <w:start w:val="1"/>
      <w:numFmt w:val="decimal"/>
      <w:lvlText w:val="%4."/>
      <w:lvlJc w:val="left"/>
      <w:pPr>
        <w:tabs>
          <w:tab w:val="num" w:pos="3240"/>
        </w:tabs>
        <w:ind w:left="3240" w:hanging="360"/>
      </w:pPr>
    </w:lvl>
    <w:lvl w:ilvl="4" w:tplc="85A0C7CA" w:tentative="1">
      <w:start w:val="1"/>
      <w:numFmt w:val="lowerLetter"/>
      <w:lvlText w:val="%5."/>
      <w:lvlJc w:val="left"/>
      <w:pPr>
        <w:tabs>
          <w:tab w:val="num" w:pos="3960"/>
        </w:tabs>
        <w:ind w:left="3960" w:hanging="360"/>
      </w:pPr>
    </w:lvl>
    <w:lvl w:ilvl="5" w:tplc="47FE686E" w:tentative="1">
      <w:start w:val="1"/>
      <w:numFmt w:val="lowerRoman"/>
      <w:lvlText w:val="%6."/>
      <w:lvlJc w:val="right"/>
      <w:pPr>
        <w:tabs>
          <w:tab w:val="num" w:pos="4680"/>
        </w:tabs>
        <w:ind w:left="4680" w:hanging="180"/>
      </w:pPr>
    </w:lvl>
    <w:lvl w:ilvl="6" w:tplc="A6907614" w:tentative="1">
      <w:start w:val="1"/>
      <w:numFmt w:val="decimal"/>
      <w:lvlText w:val="%7."/>
      <w:lvlJc w:val="left"/>
      <w:pPr>
        <w:tabs>
          <w:tab w:val="num" w:pos="5400"/>
        </w:tabs>
        <w:ind w:left="5400" w:hanging="360"/>
      </w:pPr>
    </w:lvl>
    <w:lvl w:ilvl="7" w:tplc="4BDEE0CA" w:tentative="1">
      <w:start w:val="1"/>
      <w:numFmt w:val="lowerLetter"/>
      <w:lvlText w:val="%8."/>
      <w:lvlJc w:val="left"/>
      <w:pPr>
        <w:tabs>
          <w:tab w:val="num" w:pos="6120"/>
        </w:tabs>
        <w:ind w:left="6120" w:hanging="360"/>
      </w:pPr>
    </w:lvl>
    <w:lvl w:ilvl="8" w:tplc="55309186" w:tentative="1">
      <w:start w:val="1"/>
      <w:numFmt w:val="lowerRoman"/>
      <w:lvlText w:val="%9."/>
      <w:lvlJc w:val="right"/>
      <w:pPr>
        <w:tabs>
          <w:tab w:val="num" w:pos="6840"/>
        </w:tabs>
        <w:ind w:left="6840" w:hanging="180"/>
      </w:pPr>
    </w:lvl>
  </w:abstractNum>
  <w:abstractNum w:abstractNumId="12" w15:restartNumberingAfterBreak="0">
    <w:nsid w:val="31862E9E"/>
    <w:multiLevelType w:val="hybridMultilevel"/>
    <w:tmpl w:val="D1EABEB2"/>
    <w:lvl w:ilvl="0" w:tplc="7B8E88D0">
      <w:start w:val="2"/>
      <w:numFmt w:val="lowerLetter"/>
      <w:lvlText w:val="%1."/>
      <w:lvlJc w:val="left"/>
      <w:pPr>
        <w:tabs>
          <w:tab w:val="num" w:pos="1440"/>
        </w:tabs>
        <w:ind w:left="1440" w:hanging="720"/>
      </w:pPr>
      <w:rPr>
        <w:rFonts w:hint="default"/>
      </w:rPr>
    </w:lvl>
    <w:lvl w:ilvl="1" w:tplc="144ADD7C" w:tentative="1">
      <w:start w:val="1"/>
      <w:numFmt w:val="lowerLetter"/>
      <w:lvlText w:val="%2."/>
      <w:lvlJc w:val="left"/>
      <w:pPr>
        <w:tabs>
          <w:tab w:val="num" w:pos="1800"/>
        </w:tabs>
        <w:ind w:left="1800" w:hanging="360"/>
      </w:pPr>
    </w:lvl>
    <w:lvl w:ilvl="2" w:tplc="9EF82974" w:tentative="1">
      <w:start w:val="1"/>
      <w:numFmt w:val="lowerRoman"/>
      <w:lvlText w:val="%3."/>
      <w:lvlJc w:val="right"/>
      <w:pPr>
        <w:tabs>
          <w:tab w:val="num" w:pos="2520"/>
        </w:tabs>
        <w:ind w:left="2520" w:hanging="180"/>
      </w:pPr>
    </w:lvl>
    <w:lvl w:ilvl="3" w:tplc="A6FCB34C" w:tentative="1">
      <w:start w:val="1"/>
      <w:numFmt w:val="decimal"/>
      <w:lvlText w:val="%4."/>
      <w:lvlJc w:val="left"/>
      <w:pPr>
        <w:tabs>
          <w:tab w:val="num" w:pos="3240"/>
        </w:tabs>
        <w:ind w:left="3240" w:hanging="360"/>
      </w:pPr>
    </w:lvl>
    <w:lvl w:ilvl="4" w:tplc="063A1C0E" w:tentative="1">
      <w:start w:val="1"/>
      <w:numFmt w:val="lowerLetter"/>
      <w:lvlText w:val="%5."/>
      <w:lvlJc w:val="left"/>
      <w:pPr>
        <w:tabs>
          <w:tab w:val="num" w:pos="3960"/>
        </w:tabs>
        <w:ind w:left="3960" w:hanging="360"/>
      </w:pPr>
    </w:lvl>
    <w:lvl w:ilvl="5" w:tplc="B4B61738" w:tentative="1">
      <w:start w:val="1"/>
      <w:numFmt w:val="lowerRoman"/>
      <w:lvlText w:val="%6."/>
      <w:lvlJc w:val="right"/>
      <w:pPr>
        <w:tabs>
          <w:tab w:val="num" w:pos="4680"/>
        </w:tabs>
        <w:ind w:left="4680" w:hanging="180"/>
      </w:pPr>
    </w:lvl>
    <w:lvl w:ilvl="6" w:tplc="2278D5F2" w:tentative="1">
      <w:start w:val="1"/>
      <w:numFmt w:val="decimal"/>
      <w:lvlText w:val="%7."/>
      <w:lvlJc w:val="left"/>
      <w:pPr>
        <w:tabs>
          <w:tab w:val="num" w:pos="5400"/>
        </w:tabs>
        <w:ind w:left="5400" w:hanging="360"/>
      </w:pPr>
    </w:lvl>
    <w:lvl w:ilvl="7" w:tplc="5080D360" w:tentative="1">
      <w:start w:val="1"/>
      <w:numFmt w:val="lowerLetter"/>
      <w:lvlText w:val="%8."/>
      <w:lvlJc w:val="left"/>
      <w:pPr>
        <w:tabs>
          <w:tab w:val="num" w:pos="6120"/>
        </w:tabs>
        <w:ind w:left="6120" w:hanging="360"/>
      </w:pPr>
    </w:lvl>
    <w:lvl w:ilvl="8" w:tplc="9D124F30" w:tentative="1">
      <w:start w:val="1"/>
      <w:numFmt w:val="lowerRoman"/>
      <w:lvlText w:val="%9."/>
      <w:lvlJc w:val="right"/>
      <w:pPr>
        <w:tabs>
          <w:tab w:val="num" w:pos="6840"/>
        </w:tabs>
        <w:ind w:left="6840" w:hanging="180"/>
      </w:pPr>
    </w:lvl>
  </w:abstractNum>
  <w:abstractNum w:abstractNumId="13" w15:restartNumberingAfterBreak="0">
    <w:nsid w:val="3DCE5616"/>
    <w:multiLevelType w:val="hybridMultilevel"/>
    <w:tmpl w:val="3E4C684A"/>
    <w:lvl w:ilvl="0" w:tplc="184C7B7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405D6235"/>
    <w:multiLevelType w:val="multilevel"/>
    <w:tmpl w:val="8C46FFC8"/>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5"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18"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9" w15:restartNumberingAfterBreak="0">
    <w:nsid w:val="67AE5DD7"/>
    <w:multiLevelType w:val="hybridMultilevel"/>
    <w:tmpl w:val="2CBA296E"/>
    <w:lvl w:ilvl="0" w:tplc="DAAEC702">
      <w:start w:val="500"/>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B5596A"/>
    <w:multiLevelType w:val="hybridMultilevel"/>
    <w:tmpl w:val="27A67ED2"/>
    <w:lvl w:ilvl="0" w:tplc="F7F63F42">
      <w:start w:val="4"/>
      <w:numFmt w:val="lowerLetter"/>
      <w:lvlText w:val="%1."/>
      <w:lvlJc w:val="left"/>
      <w:pPr>
        <w:tabs>
          <w:tab w:val="num" w:pos="1440"/>
        </w:tabs>
        <w:ind w:left="1440" w:hanging="720"/>
      </w:pPr>
      <w:rPr>
        <w:rFonts w:hint="default"/>
      </w:rPr>
    </w:lvl>
    <w:lvl w:ilvl="1" w:tplc="46A0FF34" w:tentative="1">
      <w:start w:val="1"/>
      <w:numFmt w:val="lowerLetter"/>
      <w:lvlText w:val="%2."/>
      <w:lvlJc w:val="left"/>
      <w:pPr>
        <w:tabs>
          <w:tab w:val="num" w:pos="1800"/>
        </w:tabs>
        <w:ind w:left="1800" w:hanging="360"/>
      </w:pPr>
    </w:lvl>
    <w:lvl w:ilvl="2" w:tplc="369EDA74" w:tentative="1">
      <w:start w:val="1"/>
      <w:numFmt w:val="lowerRoman"/>
      <w:lvlText w:val="%3."/>
      <w:lvlJc w:val="right"/>
      <w:pPr>
        <w:tabs>
          <w:tab w:val="num" w:pos="2520"/>
        </w:tabs>
        <w:ind w:left="2520" w:hanging="180"/>
      </w:pPr>
    </w:lvl>
    <w:lvl w:ilvl="3" w:tplc="0DE8BF80" w:tentative="1">
      <w:start w:val="1"/>
      <w:numFmt w:val="decimal"/>
      <w:lvlText w:val="%4."/>
      <w:lvlJc w:val="left"/>
      <w:pPr>
        <w:tabs>
          <w:tab w:val="num" w:pos="3240"/>
        </w:tabs>
        <w:ind w:left="3240" w:hanging="360"/>
      </w:pPr>
    </w:lvl>
    <w:lvl w:ilvl="4" w:tplc="30B017B2" w:tentative="1">
      <w:start w:val="1"/>
      <w:numFmt w:val="lowerLetter"/>
      <w:lvlText w:val="%5."/>
      <w:lvlJc w:val="left"/>
      <w:pPr>
        <w:tabs>
          <w:tab w:val="num" w:pos="3960"/>
        </w:tabs>
        <w:ind w:left="3960" w:hanging="360"/>
      </w:pPr>
    </w:lvl>
    <w:lvl w:ilvl="5" w:tplc="6268A26C" w:tentative="1">
      <w:start w:val="1"/>
      <w:numFmt w:val="lowerRoman"/>
      <w:lvlText w:val="%6."/>
      <w:lvlJc w:val="right"/>
      <w:pPr>
        <w:tabs>
          <w:tab w:val="num" w:pos="4680"/>
        </w:tabs>
        <w:ind w:left="4680" w:hanging="180"/>
      </w:pPr>
    </w:lvl>
    <w:lvl w:ilvl="6" w:tplc="75A4A32A" w:tentative="1">
      <w:start w:val="1"/>
      <w:numFmt w:val="decimal"/>
      <w:lvlText w:val="%7."/>
      <w:lvlJc w:val="left"/>
      <w:pPr>
        <w:tabs>
          <w:tab w:val="num" w:pos="5400"/>
        </w:tabs>
        <w:ind w:left="5400" w:hanging="360"/>
      </w:pPr>
    </w:lvl>
    <w:lvl w:ilvl="7" w:tplc="20387FC2" w:tentative="1">
      <w:start w:val="1"/>
      <w:numFmt w:val="lowerLetter"/>
      <w:lvlText w:val="%8."/>
      <w:lvlJc w:val="left"/>
      <w:pPr>
        <w:tabs>
          <w:tab w:val="num" w:pos="6120"/>
        </w:tabs>
        <w:ind w:left="6120" w:hanging="360"/>
      </w:pPr>
    </w:lvl>
    <w:lvl w:ilvl="8" w:tplc="9588E97E" w:tentative="1">
      <w:start w:val="1"/>
      <w:numFmt w:val="lowerRoman"/>
      <w:lvlText w:val="%9."/>
      <w:lvlJc w:val="right"/>
      <w:pPr>
        <w:tabs>
          <w:tab w:val="num" w:pos="6840"/>
        </w:tabs>
        <w:ind w:left="6840" w:hanging="180"/>
      </w:pPr>
    </w:lvl>
  </w:abstractNum>
  <w:abstractNum w:abstractNumId="21" w15:restartNumberingAfterBreak="0">
    <w:nsid w:val="72F16156"/>
    <w:multiLevelType w:val="hybridMultilevel"/>
    <w:tmpl w:val="AA1ECC94"/>
    <w:lvl w:ilvl="0" w:tplc="8D0EE08A">
      <w:start w:val="3"/>
      <w:numFmt w:val="lowerRoman"/>
      <w:lvlText w:val="%1."/>
      <w:lvlJc w:val="left"/>
      <w:pPr>
        <w:tabs>
          <w:tab w:val="num" w:pos="2160"/>
        </w:tabs>
        <w:ind w:left="2160" w:hanging="720"/>
      </w:pPr>
      <w:rPr>
        <w:rFonts w:hint="default"/>
      </w:rPr>
    </w:lvl>
    <w:lvl w:ilvl="1" w:tplc="9D3A695E" w:tentative="1">
      <w:start w:val="1"/>
      <w:numFmt w:val="lowerLetter"/>
      <w:lvlText w:val="%2."/>
      <w:lvlJc w:val="left"/>
      <w:pPr>
        <w:tabs>
          <w:tab w:val="num" w:pos="2520"/>
        </w:tabs>
        <w:ind w:left="2520" w:hanging="360"/>
      </w:pPr>
    </w:lvl>
    <w:lvl w:ilvl="2" w:tplc="BA087688" w:tentative="1">
      <w:start w:val="1"/>
      <w:numFmt w:val="lowerRoman"/>
      <w:lvlText w:val="%3."/>
      <w:lvlJc w:val="right"/>
      <w:pPr>
        <w:tabs>
          <w:tab w:val="num" w:pos="3240"/>
        </w:tabs>
        <w:ind w:left="3240" w:hanging="180"/>
      </w:pPr>
    </w:lvl>
    <w:lvl w:ilvl="3" w:tplc="C8DEAAF6" w:tentative="1">
      <w:start w:val="1"/>
      <w:numFmt w:val="decimal"/>
      <w:lvlText w:val="%4."/>
      <w:lvlJc w:val="left"/>
      <w:pPr>
        <w:tabs>
          <w:tab w:val="num" w:pos="3960"/>
        </w:tabs>
        <w:ind w:left="3960" w:hanging="360"/>
      </w:pPr>
    </w:lvl>
    <w:lvl w:ilvl="4" w:tplc="4CA83516" w:tentative="1">
      <w:start w:val="1"/>
      <w:numFmt w:val="lowerLetter"/>
      <w:lvlText w:val="%5."/>
      <w:lvlJc w:val="left"/>
      <w:pPr>
        <w:tabs>
          <w:tab w:val="num" w:pos="4680"/>
        </w:tabs>
        <w:ind w:left="4680" w:hanging="360"/>
      </w:pPr>
    </w:lvl>
    <w:lvl w:ilvl="5" w:tplc="FBD26C50" w:tentative="1">
      <w:start w:val="1"/>
      <w:numFmt w:val="lowerRoman"/>
      <w:lvlText w:val="%6."/>
      <w:lvlJc w:val="right"/>
      <w:pPr>
        <w:tabs>
          <w:tab w:val="num" w:pos="5400"/>
        </w:tabs>
        <w:ind w:left="5400" w:hanging="180"/>
      </w:pPr>
    </w:lvl>
    <w:lvl w:ilvl="6" w:tplc="AE20780C" w:tentative="1">
      <w:start w:val="1"/>
      <w:numFmt w:val="decimal"/>
      <w:lvlText w:val="%7."/>
      <w:lvlJc w:val="left"/>
      <w:pPr>
        <w:tabs>
          <w:tab w:val="num" w:pos="6120"/>
        </w:tabs>
        <w:ind w:left="6120" w:hanging="360"/>
      </w:pPr>
    </w:lvl>
    <w:lvl w:ilvl="7" w:tplc="DD2C6CD4" w:tentative="1">
      <w:start w:val="1"/>
      <w:numFmt w:val="lowerLetter"/>
      <w:lvlText w:val="%8."/>
      <w:lvlJc w:val="left"/>
      <w:pPr>
        <w:tabs>
          <w:tab w:val="num" w:pos="6840"/>
        </w:tabs>
        <w:ind w:left="6840" w:hanging="360"/>
      </w:pPr>
    </w:lvl>
    <w:lvl w:ilvl="8" w:tplc="69C04B10" w:tentative="1">
      <w:start w:val="1"/>
      <w:numFmt w:val="lowerRoman"/>
      <w:lvlText w:val="%9."/>
      <w:lvlJc w:val="right"/>
      <w:pPr>
        <w:tabs>
          <w:tab w:val="num" w:pos="7560"/>
        </w:tabs>
        <w:ind w:left="7560" w:hanging="180"/>
      </w:pPr>
    </w:lvl>
  </w:abstractNum>
  <w:abstractNum w:abstractNumId="22" w15:restartNumberingAfterBreak="0">
    <w:nsid w:val="74454BB2"/>
    <w:multiLevelType w:val="hybridMultilevel"/>
    <w:tmpl w:val="BB9CCBBA"/>
    <w:lvl w:ilvl="0" w:tplc="2D7AFF46">
      <w:start w:val="500"/>
      <w:numFmt w:val="upperRoman"/>
      <w:lvlText w:val="%1."/>
      <w:lvlJc w:val="left"/>
      <w:pPr>
        <w:ind w:left="1800" w:hanging="72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4"/>
  </w:num>
  <w:num w:numId="3">
    <w:abstractNumId w:val="7"/>
  </w:num>
  <w:num w:numId="4">
    <w:abstractNumId w:val="23"/>
  </w:num>
  <w:num w:numId="5">
    <w:abstractNumId w:val="15"/>
  </w:num>
  <w:num w:numId="6">
    <w:abstractNumId w:val="14"/>
  </w:num>
  <w:num w:numId="7">
    <w:abstractNumId w:val="9"/>
  </w:num>
  <w:num w:numId="8">
    <w:abstractNumId w:val="17"/>
  </w:num>
  <w:num w:numId="9">
    <w:abstractNumId w:val="1"/>
  </w:num>
  <w:num w:numId="10">
    <w:abstractNumId w:val="12"/>
  </w:num>
  <w:num w:numId="11">
    <w:abstractNumId w:val="16"/>
  </w:num>
  <w:num w:numId="12">
    <w:abstractNumId w:val="18"/>
  </w:num>
  <w:num w:numId="13">
    <w:abstractNumId w:val="3"/>
  </w:num>
  <w:num w:numId="14">
    <w:abstractNumId w:val="5"/>
  </w:num>
  <w:num w:numId="15">
    <w:abstractNumId w:val="20"/>
  </w:num>
  <w:num w:numId="16">
    <w:abstractNumId w:val="21"/>
  </w:num>
  <w:num w:numId="17">
    <w:abstractNumId w:val="6"/>
  </w:num>
  <w:num w:numId="18">
    <w:abstractNumId w:val="11"/>
  </w:num>
  <w:num w:numId="19">
    <w:abstractNumId w:val="10"/>
  </w:num>
  <w:num w:numId="20">
    <w:abstractNumId w:val="8"/>
  </w:num>
  <w:num w:numId="21">
    <w:abstractNumId w:val="0"/>
    <w:lvlOverride w:ilvl="0">
      <w:lvl w:ilvl="0">
        <w:start w:val="1"/>
        <w:numFmt w:val="decimal"/>
        <w:pStyle w:val="Quick1"/>
        <w:lvlText w:val=" %1."/>
        <w:lvlJc w:val="left"/>
        <w:pPr>
          <w:ind w:left="0" w:firstLine="0"/>
        </w:pPr>
        <w:rPr>
          <w:rFonts w:ascii="Arial" w:hAnsi="Arial"/>
          <w:sz w:val="24"/>
        </w:rPr>
      </w:lvl>
    </w:lvlOverride>
  </w:num>
  <w:num w:numId="22">
    <w:abstractNumId w:val="13"/>
  </w:num>
  <w:num w:numId="23">
    <w:abstractNumId w:val="19"/>
  </w:num>
  <w:num w:numId="24">
    <w:abstractNumId w:val="2"/>
  </w:num>
  <w:num w:numId="25">
    <w:abstractNumId w:val="22"/>
  </w:num>
  <w:num w:numId="26">
    <w:abstractNumId w:val="0"/>
    <w:lvlOverride w:ilvl="0">
      <w:startOverride w:val="1"/>
      <w:lvl w:ilvl="0">
        <w:start w:val="1"/>
        <w:numFmt w:val="decimal"/>
        <w:pStyle w:val="Quick1"/>
        <w:lvlText w:val=" %1."/>
        <w:lvlJc w:val="left"/>
      </w:lvl>
    </w:lvlOverride>
  </w:num>
  <w:num w:numId="27">
    <w:abstractNumId w:val="0"/>
    <w:lvlOverride w:ilvl="0">
      <w:startOverride w:val="1"/>
      <w:lvl w:ilvl="0">
        <w:start w:val="1"/>
        <w:numFmt w:val="decimal"/>
        <w:pStyle w:val="Quick1"/>
        <w:lvlText w:val=" %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656CC3"/>
    <w:rsid w:val="00004020"/>
    <w:rsid w:val="00004328"/>
    <w:rsid w:val="000049C5"/>
    <w:rsid w:val="000064AD"/>
    <w:rsid w:val="00006D95"/>
    <w:rsid w:val="00010579"/>
    <w:rsid w:val="0002070D"/>
    <w:rsid w:val="00022890"/>
    <w:rsid w:val="000340D1"/>
    <w:rsid w:val="00043699"/>
    <w:rsid w:val="000537ED"/>
    <w:rsid w:val="00057F4E"/>
    <w:rsid w:val="00061878"/>
    <w:rsid w:val="00062BC5"/>
    <w:rsid w:val="00070CDA"/>
    <w:rsid w:val="00075BB5"/>
    <w:rsid w:val="000850B2"/>
    <w:rsid w:val="0008633E"/>
    <w:rsid w:val="00090D52"/>
    <w:rsid w:val="0009105C"/>
    <w:rsid w:val="00095CF5"/>
    <w:rsid w:val="000A0AF3"/>
    <w:rsid w:val="000A0D7D"/>
    <w:rsid w:val="000A5DC7"/>
    <w:rsid w:val="000A75D1"/>
    <w:rsid w:val="000B390A"/>
    <w:rsid w:val="000C10C6"/>
    <w:rsid w:val="000C7F33"/>
    <w:rsid w:val="000D0F8C"/>
    <w:rsid w:val="000D6B16"/>
    <w:rsid w:val="000D7989"/>
    <w:rsid w:val="000E5D40"/>
    <w:rsid w:val="000F1E8F"/>
    <w:rsid w:val="000F61A9"/>
    <w:rsid w:val="0010087C"/>
    <w:rsid w:val="00111003"/>
    <w:rsid w:val="00113F18"/>
    <w:rsid w:val="00122CE1"/>
    <w:rsid w:val="00126545"/>
    <w:rsid w:val="00133DD2"/>
    <w:rsid w:val="001358CB"/>
    <w:rsid w:val="001359C6"/>
    <w:rsid w:val="00141832"/>
    <w:rsid w:val="00153B9F"/>
    <w:rsid w:val="00176D19"/>
    <w:rsid w:val="001838EB"/>
    <w:rsid w:val="001848AB"/>
    <w:rsid w:val="00184B18"/>
    <w:rsid w:val="00185DA8"/>
    <w:rsid w:val="001942DA"/>
    <w:rsid w:val="001A1DD2"/>
    <w:rsid w:val="001A4A74"/>
    <w:rsid w:val="001C0076"/>
    <w:rsid w:val="001E2DEC"/>
    <w:rsid w:val="001E5908"/>
    <w:rsid w:val="001E5C7B"/>
    <w:rsid w:val="001F21F6"/>
    <w:rsid w:val="001F40B2"/>
    <w:rsid w:val="00210544"/>
    <w:rsid w:val="00210741"/>
    <w:rsid w:val="002119D7"/>
    <w:rsid w:val="00222E69"/>
    <w:rsid w:val="00230EE6"/>
    <w:rsid w:val="00245689"/>
    <w:rsid w:val="00247404"/>
    <w:rsid w:val="00247E33"/>
    <w:rsid w:val="00260C47"/>
    <w:rsid w:val="0026497E"/>
    <w:rsid w:val="00265584"/>
    <w:rsid w:val="00265B0E"/>
    <w:rsid w:val="002719DE"/>
    <w:rsid w:val="002724AB"/>
    <w:rsid w:val="002739D0"/>
    <w:rsid w:val="00280420"/>
    <w:rsid w:val="00291D2C"/>
    <w:rsid w:val="002A036E"/>
    <w:rsid w:val="002A54C3"/>
    <w:rsid w:val="002B1B6B"/>
    <w:rsid w:val="002B34D2"/>
    <w:rsid w:val="002B6CA9"/>
    <w:rsid w:val="002C14AD"/>
    <w:rsid w:val="002C44EC"/>
    <w:rsid w:val="002C6E6F"/>
    <w:rsid w:val="002D013A"/>
    <w:rsid w:val="002D1651"/>
    <w:rsid w:val="002E19D8"/>
    <w:rsid w:val="002E25EF"/>
    <w:rsid w:val="002F23F3"/>
    <w:rsid w:val="00303246"/>
    <w:rsid w:val="00314300"/>
    <w:rsid w:val="00321BA1"/>
    <w:rsid w:val="00322C31"/>
    <w:rsid w:val="00322CCD"/>
    <w:rsid w:val="00336E3E"/>
    <w:rsid w:val="00342229"/>
    <w:rsid w:val="00350817"/>
    <w:rsid w:val="00352290"/>
    <w:rsid w:val="00352A8C"/>
    <w:rsid w:val="003540A4"/>
    <w:rsid w:val="00354D41"/>
    <w:rsid w:val="00354E26"/>
    <w:rsid w:val="00356BC6"/>
    <w:rsid w:val="00361AD6"/>
    <w:rsid w:val="00372631"/>
    <w:rsid w:val="00373B4D"/>
    <w:rsid w:val="003776D2"/>
    <w:rsid w:val="003820B0"/>
    <w:rsid w:val="00384DD0"/>
    <w:rsid w:val="0038751E"/>
    <w:rsid w:val="003A315E"/>
    <w:rsid w:val="003A4E61"/>
    <w:rsid w:val="003B27AB"/>
    <w:rsid w:val="003B3511"/>
    <w:rsid w:val="003B3E18"/>
    <w:rsid w:val="003B5B33"/>
    <w:rsid w:val="003C7AE9"/>
    <w:rsid w:val="003C7E4C"/>
    <w:rsid w:val="003D242B"/>
    <w:rsid w:val="003E6E98"/>
    <w:rsid w:val="003F7533"/>
    <w:rsid w:val="0040074A"/>
    <w:rsid w:val="0040458F"/>
    <w:rsid w:val="00406DBE"/>
    <w:rsid w:val="0041457A"/>
    <w:rsid w:val="0042258E"/>
    <w:rsid w:val="00423167"/>
    <w:rsid w:val="00426784"/>
    <w:rsid w:val="00436638"/>
    <w:rsid w:val="00440DC0"/>
    <w:rsid w:val="00444138"/>
    <w:rsid w:val="00444AA5"/>
    <w:rsid w:val="00447134"/>
    <w:rsid w:val="004505B4"/>
    <w:rsid w:val="00451E4F"/>
    <w:rsid w:val="00452811"/>
    <w:rsid w:val="00454070"/>
    <w:rsid w:val="00454DE4"/>
    <w:rsid w:val="00460A01"/>
    <w:rsid w:val="00463699"/>
    <w:rsid w:val="0048161D"/>
    <w:rsid w:val="00487697"/>
    <w:rsid w:val="004914E1"/>
    <w:rsid w:val="00496397"/>
    <w:rsid w:val="00496ACA"/>
    <w:rsid w:val="0049758E"/>
    <w:rsid w:val="004A1D59"/>
    <w:rsid w:val="004B0691"/>
    <w:rsid w:val="004B2E28"/>
    <w:rsid w:val="004B37EF"/>
    <w:rsid w:val="004B7C35"/>
    <w:rsid w:val="004C0563"/>
    <w:rsid w:val="004C29B6"/>
    <w:rsid w:val="004C33D1"/>
    <w:rsid w:val="004C487B"/>
    <w:rsid w:val="004C5618"/>
    <w:rsid w:val="004C6185"/>
    <w:rsid w:val="004D3DF5"/>
    <w:rsid w:val="004D7701"/>
    <w:rsid w:val="004E3EC5"/>
    <w:rsid w:val="004E3F05"/>
    <w:rsid w:val="004E7134"/>
    <w:rsid w:val="004E79AE"/>
    <w:rsid w:val="004F016A"/>
    <w:rsid w:val="004F19DA"/>
    <w:rsid w:val="005053D7"/>
    <w:rsid w:val="005066A7"/>
    <w:rsid w:val="00511357"/>
    <w:rsid w:val="005134E1"/>
    <w:rsid w:val="00516E1B"/>
    <w:rsid w:val="0052198A"/>
    <w:rsid w:val="00531331"/>
    <w:rsid w:val="00536101"/>
    <w:rsid w:val="005448D1"/>
    <w:rsid w:val="00545810"/>
    <w:rsid w:val="00567E2D"/>
    <w:rsid w:val="00580DEC"/>
    <w:rsid w:val="00582484"/>
    <w:rsid w:val="00587660"/>
    <w:rsid w:val="00590984"/>
    <w:rsid w:val="0059103D"/>
    <w:rsid w:val="00594033"/>
    <w:rsid w:val="0059759E"/>
    <w:rsid w:val="005A671C"/>
    <w:rsid w:val="005B01BE"/>
    <w:rsid w:val="005B379B"/>
    <w:rsid w:val="005B48A2"/>
    <w:rsid w:val="005B589B"/>
    <w:rsid w:val="005C04D2"/>
    <w:rsid w:val="005C16A9"/>
    <w:rsid w:val="005C237D"/>
    <w:rsid w:val="005C2979"/>
    <w:rsid w:val="005D6445"/>
    <w:rsid w:val="005D6B6C"/>
    <w:rsid w:val="005E1CEA"/>
    <w:rsid w:val="005E39EC"/>
    <w:rsid w:val="005E3EDA"/>
    <w:rsid w:val="005E7573"/>
    <w:rsid w:val="005F2897"/>
    <w:rsid w:val="005F41D7"/>
    <w:rsid w:val="0060113D"/>
    <w:rsid w:val="00603447"/>
    <w:rsid w:val="00611949"/>
    <w:rsid w:val="00613D92"/>
    <w:rsid w:val="0062055E"/>
    <w:rsid w:val="006216AA"/>
    <w:rsid w:val="00621916"/>
    <w:rsid w:val="00621A13"/>
    <w:rsid w:val="00624428"/>
    <w:rsid w:val="0063245B"/>
    <w:rsid w:val="00633520"/>
    <w:rsid w:val="00641F91"/>
    <w:rsid w:val="00644224"/>
    <w:rsid w:val="0064482A"/>
    <w:rsid w:val="006460A7"/>
    <w:rsid w:val="00654E7A"/>
    <w:rsid w:val="0065565E"/>
    <w:rsid w:val="00656CC3"/>
    <w:rsid w:val="00661D29"/>
    <w:rsid w:val="0066362B"/>
    <w:rsid w:val="00663CBA"/>
    <w:rsid w:val="00665428"/>
    <w:rsid w:val="006668EB"/>
    <w:rsid w:val="00666EE5"/>
    <w:rsid w:val="00684B39"/>
    <w:rsid w:val="00690E8B"/>
    <w:rsid w:val="00691A41"/>
    <w:rsid w:val="00695297"/>
    <w:rsid w:val="006968BC"/>
    <w:rsid w:val="0069760C"/>
    <w:rsid w:val="006A1AB9"/>
    <w:rsid w:val="006A4E6F"/>
    <w:rsid w:val="006A62E6"/>
    <w:rsid w:val="006B541E"/>
    <w:rsid w:val="006B7EE6"/>
    <w:rsid w:val="006C3C1D"/>
    <w:rsid w:val="006C6E93"/>
    <w:rsid w:val="006D422A"/>
    <w:rsid w:val="006D510E"/>
    <w:rsid w:val="006D5FB9"/>
    <w:rsid w:val="006D6950"/>
    <w:rsid w:val="006D7588"/>
    <w:rsid w:val="006E6756"/>
    <w:rsid w:val="00711B25"/>
    <w:rsid w:val="00711C41"/>
    <w:rsid w:val="00716446"/>
    <w:rsid w:val="00717E3C"/>
    <w:rsid w:val="007219E3"/>
    <w:rsid w:val="00725919"/>
    <w:rsid w:val="0072644C"/>
    <w:rsid w:val="0073077D"/>
    <w:rsid w:val="00730B46"/>
    <w:rsid w:val="00733D3F"/>
    <w:rsid w:val="00735E23"/>
    <w:rsid w:val="00735F8B"/>
    <w:rsid w:val="00752F2F"/>
    <w:rsid w:val="0075516A"/>
    <w:rsid w:val="00763FC5"/>
    <w:rsid w:val="00763FE7"/>
    <w:rsid w:val="007706CC"/>
    <w:rsid w:val="00770BF2"/>
    <w:rsid w:val="00774204"/>
    <w:rsid w:val="00777923"/>
    <w:rsid w:val="007827D5"/>
    <w:rsid w:val="0078432F"/>
    <w:rsid w:val="0078598D"/>
    <w:rsid w:val="00791A65"/>
    <w:rsid w:val="0079402B"/>
    <w:rsid w:val="007A0FCB"/>
    <w:rsid w:val="007A7423"/>
    <w:rsid w:val="007B3A86"/>
    <w:rsid w:val="007B4A7F"/>
    <w:rsid w:val="007B58FA"/>
    <w:rsid w:val="007C6D89"/>
    <w:rsid w:val="007D0A36"/>
    <w:rsid w:val="007D0AE2"/>
    <w:rsid w:val="007D7641"/>
    <w:rsid w:val="007E2106"/>
    <w:rsid w:val="007E5495"/>
    <w:rsid w:val="007F1951"/>
    <w:rsid w:val="007F2D8F"/>
    <w:rsid w:val="00801907"/>
    <w:rsid w:val="008108B6"/>
    <w:rsid w:val="008110CF"/>
    <w:rsid w:val="0081655D"/>
    <w:rsid w:val="008172F7"/>
    <w:rsid w:val="00822DBF"/>
    <w:rsid w:val="008278C1"/>
    <w:rsid w:val="00832B06"/>
    <w:rsid w:val="00832F1E"/>
    <w:rsid w:val="00837779"/>
    <w:rsid w:val="008431E0"/>
    <w:rsid w:val="00843897"/>
    <w:rsid w:val="00850483"/>
    <w:rsid w:val="00850FC6"/>
    <w:rsid w:val="0085640F"/>
    <w:rsid w:val="008673CB"/>
    <w:rsid w:val="00867776"/>
    <w:rsid w:val="008718D2"/>
    <w:rsid w:val="00877E71"/>
    <w:rsid w:val="00883FCE"/>
    <w:rsid w:val="00884AD8"/>
    <w:rsid w:val="00884E9D"/>
    <w:rsid w:val="008855EA"/>
    <w:rsid w:val="008930A5"/>
    <w:rsid w:val="008967DA"/>
    <w:rsid w:val="00896CE1"/>
    <w:rsid w:val="00897C5C"/>
    <w:rsid w:val="008A2EE5"/>
    <w:rsid w:val="008A3381"/>
    <w:rsid w:val="008A6C2C"/>
    <w:rsid w:val="008A6CF7"/>
    <w:rsid w:val="008B02B0"/>
    <w:rsid w:val="008B4481"/>
    <w:rsid w:val="008C2B6E"/>
    <w:rsid w:val="008C46AC"/>
    <w:rsid w:val="008D1681"/>
    <w:rsid w:val="008E6BDA"/>
    <w:rsid w:val="008F20B8"/>
    <w:rsid w:val="008F6A69"/>
    <w:rsid w:val="008F70E2"/>
    <w:rsid w:val="008F73FB"/>
    <w:rsid w:val="00910AE9"/>
    <w:rsid w:val="00913D3C"/>
    <w:rsid w:val="009146BD"/>
    <w:rsid w:val="00921993"/>
    <w:rsid w:val="00926F7D"/>
    <w:rsid w:val="00931E83"/>
    <w:rsid w:val="00936E8D"/>
    <w:rsid w:val="009404EF"/>
    <w:rsid w:val="00940C2A"/>
    <w:rsid w:val="00944C45"/>
    <w:rsid w:val="00946E93"/>
    <w:rsid w:val="00947A6A"/>
    <w:rsid w:val="0095069A"/>
    <w:rsid w:val="00952B9F"/>
    <w:rsid w:val="009615AF"/>
    <w:rsid w:val="0096429D"/>
    <w:rsid w:val="00965FEA"/>
    <w:rsid w:val="0097109B"/>
    <w:rsid w:val="00985E75"/>
    <w:rsid w:val="00995738"/>
    <w:rsid w:val="00995F39"/>
    <w:rsid w:val="009A66A6"/>
    <w:rsid w:val="009B0EC7"/>
    <w:rsid w:val="009B3C48"/>
    <w:rsid w:val="009B7AA7"/>
    <w:rsid w:val="009B7B77"/>
    <w:rsid w:val="009C3E42"/>
    <w:rsid w:val="009C4B14"/>
    <w:rsid w:val="009D253B"/>
    <w:rsid w:val="009D3BE9"/>
    <w:rsid w:val="009E1355"/>
    <w:rsid w:val="009E3AF4"/>
    <w:rsid w:val="009F0BF2"/>
    <w:rsid w:val="009F6EA7"/>
    <w:rsid w:val="00A013A6"/>
    <w:rsid w:val="00A027F8"/>
    <w:rsid w:val="00A13213"/>
    <w:rsid w:val="00A20532"/>
    <w:rsid w:val="00A230F4"/>
    <w:rsid w:val="00A23659"/>
    <w:rsid w:val="00A24A20"/>
    <w:rsid w:val="00A30CAE"/>
    <w:rsid w:val="00A33ED7"/>
    <w:rsid w:val="00A40DE8"/>
    <w:rsid w:val="00A473A1"/>
    <w:rsid w:val="00A51871"/>
    <w:rsid w:val="00A64CE7"/>
    <w:rsid w:val="00A66B8C"/>
    <w:rsid w:val="00A67F5C"/>
    <w:rsid w:val="00A81708"/>
    <w:rsid w:val="00A84DEE"/>
    <w:rsid w:val="00A93F9C"/>
    <w:rsid w:val="00A95004"/>
    <w:rsid w:val="00A95E8F"/>
    <w:rsid w:val="00A97E27"/>
    <w:rsid w:val="00AA17EF"/>
    <w:rsid w:val="00AB1F13"/>
    <w:rsid w:val="00AB2955"/>
    <w:rsid w:val="00AB2BC0"/>
    <w:rsid w:val="00AB4177"/>
    <w:rsid w:val="00AB7647"/>
    <w:rsid w:val="00AC09FA"/>
    <w:rsid w:val="00AE10D7"/>
    <w:rsid w:val="00AE4867"/>
    <w:rsid w:val="00AE559A"/>
    <w:rsid w:val="00AF08AE"/>
    <w:rsid w:val="00B0496E"/>
    <w:rsid w:val="00B05963"/>
    <w:rsid w:val="00B16730"/>
    <w:rsid w:val="00B213C6"/>
    <w:rsid w:val="00B21552"/>
    <w:rsid w:val="00B2584B"/>
    <w:rsid w:val="00B41D58"/>
    <w:rsid w:val="00B51BDC"/>
    <w:rsid w:val="00B51C2F"/>
    <w:rsid w:val="00B60272"/>
    <w:rsid w:val="00B61D1D"/>
    <w:rsid w:val="00B815E2"/>
    <w:rsid w:val="00B83B24"/>
    <w:rsid w:val="00B86594"/>
    <w:rsid w:val="00B87DB9"/>
    <w:rsid w:val="00B95467"/>
    <w:rsid w:val="00B9689A"/>
    <w:rsid w:val="00BA0427"/>
    <w:rsid w:val="00BB40F5"/>
    <w:rsid w:val="00BB4E9B"/>
    <w:rsid w:val="00BC0039"/>
    <w:rsid w:val="00BC2102"/>
    <w:rsid w:val="00BC2884"/>
    <w:rsid w:val="00BD04BD"/>
    <w:rsid w:val="00BE7CCD"/>
    <w:rsid w:val="00BF0757"/>
    <w:rsid w:val="00C13E76"/>
    <w:rsid w:val="00C23327"/>
    <w:rsid w:val="00C266FE"/>
    <w:rsid w:val="00C30DCC"/>
    <w:rsid w:val="00C318B2"/>
    <w:rsid w:val="00C363BC"/>
    <w:rsid w:val="00C41756"/>
    <w:rsid w:val="00C42177"/>
    <w:rsid w:val="00C42E8D"/>
    <w:rsid w:val="00C4352A"/>
    <w:rsid w:val="00C438EA"/>
    <w:rsid w:val="00C44A43"/>
    <w:rsid w:val="00C45B59"/>
    <w:rsid w:val="00C50528"/>
    <w:rsid w:val="00C5245C"/>
    <w:rsid w:val="00C66E40"/>
    <w:rsid w:val="00C66F3E"/>
    <w:rsid w:val="00C73121"/>
    <w:rsid w:val="00C83780"/>
    <w:rsid w:val="00C93766"/>
    <w:rsid w:val="00CB0386"/>
    <w:rsid w:val="00CB1B6B"/>
    <w:rsid w:val="00CD5484"/>
    <w:rsid w:val="00CE1673"/>
    <w:rsid w:val="00CE322E"/>
    <w:rsid w:val="00CE4993"/>
    <w:rsid w:val="00CE51A5"/>
    <w:rsid w:val="00CE5EF2"/>
    <w:rsid w:val="00CF0360"/>
    <w:rsid w:val="00CF05E4"/>
    <w:rsid w:val="00CF310D"/>
    <w:rsid w:val="00CF501B"/>
    <w:rsid w:val="00D041AF"/>
    <w:rsid w:val="00D0627F"/>
    <w:rsid w:val="00D114C2"/>
    <w:rsid w:val="00D14C8E"/>
    <w:rsid w:val="00D168DF"/>
    <w:rsid w:val="00D20550"/>
    <w:rsid w:val="00D25856"/>
    <w:rsid w:val="00D2673C"/>
    <w:rsid w:val="00D3004B"/>
    <w:rsid w:val="00D32591"/>
    <w:rsid w:val="00D33735"/>
    <w:rsid w:val="00D368D6"/>
    <w:rsid w:val="00D447C3"/>
    <w:rsid w:val="00D47014"/>
    <w:rsid w:val="00D47229"/>
    <w:rsid w:val="00D50AF6"/>
    <w:rsid w:val="00D56C22"/>
    <w:rsid w:val="00D57D56"/>
    <w:rsid w:val="00D60804"/>
    <w:rsid w:val="00D60D20"/>
    <w:rsid w:val="00D66AF8"/>
    <w:rsid w:val="00D76E71"/>
    <w:rsid w:val="00D8065F"/>
    <w:rsid w:val="00D81130"/>
    <w:rsid w:val="00D8337F"/>
    <w:rsid w:val="00D83ADF"/>
    <w:rsid w:val="00DA397B"/>
    <w:rsid w:val="00DB0FF1"/>
    <w:rsid w:val="00DC1350"/>
    <w:rsid w:val="00DC1C2A"/>
    <w:rsid w:val="00DC1FA0"/>
    <w:rsid w:val="00DD6278"/>
    <w:rsid w:val="00DE0311"/>
    <w:rsid w:val="00DE4CAD"/>
    <w:rsid w:val="00DE72D5"/>
    <w:rsid w:val="00DF1350"/>
    <w:rsid w:val="00E03A2F"/>
    <w:rsid w:val="00E079DF"/>
    <w:rsid w:val="00E143A0"/>
    <w:rsid w:val="00E34639"/>
    <w:rsid w:val="00E42385"/>
    <w:rsid w:val="00E42E13"/>
    <w:rsid w:val="00E47298"/>
    <w:rsid w:val="00E50EA4"/>
    <w:rsid w:val="00E643E1"/>
    <w:rsid w:val="00E708F5"/>
    <w:rsid w:val="00E71132"/>
    <w:rsid w:val="00E725C8"/>
    <w:rsid w:val="00E75EE4"/>
    <w:rsid w:val="00E817AA"/>
    <w:rsid w:val="00E82753"/>
    <w:rsid w:val="00E85B66"/>
    <w:rsid w:val="00E924BE"/>
    <w:rsid w:val="00E940C2"/>
    <w:rsid w:val="00E971B6"/>
    <w:rsid w:val="00E97B7B"/>
    <w:rsid w:val="00EA14C1"/>
    <w:rsid w:val="00EA3893"/>
    <w:rsid w:val="00EA44EB"/>
    <w:rsid w:val="00EA4E14"/>
    <w:rsid w:val="00EA53E6"/>
    <w:rsid w:val="00EC2097"/>
    <w:rsid w:val="00EC4953"/>
    <w:rsid w:val="00EC4988"/>
    <w:rsid w:val="00EC7D6F"/>
    <w:rsid w:val="00ED3E8C"/>
    <w:rsid w:val="00EE0750"/>
    <w:rsid w:val="00EE0AC7"/>
    <w:rsid w:val="00EE20A4"/>
    <w:rsid w:val="00EF2DE3"/>
    <w:rsid w:val="00EF2E4D"/>
    <w:rsid w:val="00EF4B59"/>
    <w:rsid w:val="00EF68D3"/>
    <w:rsid w:val="00EF6EE9"/>
    <w:rsid w:val="00EF6EFC"/>
    <w:rsid w:val="00F001DB"/>
    <w:rsid w:val="00F16D4D"/>
    <w:rsid w:val="00F228EF"/>
    <w:rsid w:val="00F30766"/>
    <w:rsid w:val="00F34E17"/>
    <w:rsid w:val="00F36255"/>
    <w:rsid w:val="00F36672"/>
    <w:rsid w:val="00F446CB"/>
    <w:rsid w:val="00F46532"/>
    <w:rsid w:val="00F51159"/>
    <w:rsid w:val="00F56339"/>
    <w:rsid w:val="00F612CF"/>
    <w:rsid w:val="00F62E93"/>
    <w:rsid w:val="00F64BB9"/>
    <w:rsid w:val="00F81A30"/>
    <w:rsid w:val="00FA11A5"/>
    <w:rsid w:val="00FA343A"/>
    <w:rsid w:val="00FB6199"/>
    <w:rsid w:val="00FC3C7B"/>
    <w:rsid w:val="00FC6455"/>
    <w:rsid w:val="00FD0BDC"/>
    <w:rsid w:val="00FD2652"/>
    <w:rsid w:val="00FD5886"/>
    <w:rsid w:val="00FE0CF7"/>
    <w:rsid w:val="00FE4310"/>
    <w:rsid w:val="00FE6375"/>
    <w:rsid w:val="00FF487C"/>
    <w:rsid w:val="00FF6AE2"/>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D577F"/>
  <w15:docId w15:val="{C9F4B314-6754-4BBC-96EB-97D828D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Strong">
    <w:name w:val="Strong"/>
    <w:qFormat/>
    <w:rPr>
      <w:b/>
      <w:bCs/>
    </w:rPr>
  </w:style>
  <w:style w:type="table" w:styleId="TableGrid">
    <w:name w:val="Table Grid"/>
    <w:basedOn w:val="TableNormal"/>
    <w:rsid w:val="00B83B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020"/>
    <w:pPr>
      <w:ind w:left="720"/>
      <w:contextualSpacing/>
    </w:pPr>
  </w:style>
  <w:style w:type="paragraph" w:styleId="CommentSubject">
    <w:name w:val="annotation subject"/>
    <w:basedOn w:val="CommentText"/>
    <w:next w:val="CommentText"/>
    <w:link w:val="CommentSubjectChar"/>
    <w:semiHidden/>
    <w:unhideWhenUsed/>
    <w:rsid w:val="00590984"/>
    <w:rPr>
      <w:b/>
      <w:bCs/>
    </w:rPr>
  </w:style>
  <w:style w:type="character" w:customStyle="1" w:styleId="CommentTextChar">
    <w:name w:val="Comment Text Char"/>
    <w:basedOn w:val="DefaultParagraphFont"/>
    <w:link w:val="CommentText"/>
    <w:semiHidden/>
    <w:rsid w:val="00590984"/>
    <w:rPr>
      <w:rFonts w:ascii="Arial" w:hAnsi="Arial"/>
      <w:snapToGrid w:val="0"/>
    </w:rPr>
  </w:style>
  <w:style w:type="character" w:customStyle="1" w:styleId="CommentSubjectChar">
    <w:name w:val="Comment Subject Char"/>
    <w:basedOn w:val="CommentTextChar"/>
    <w:link w:val="CommentSubject"/>
    <w:semiHidden/>
    <w:rsid w:val="00590984"/>
    <w:rPr>
      <w:rFonts w:ascii="Arial" w:hAnsi="Arial"/>
      <w:b/>
      <w:bCs/>
      <w:snapToGrid w:val="0"/>
    </w:rPr>
  </w:style>
  <w:style w:type="paragraph" w:styleId="Revision">
    <w:name w:val="Revision"/>
    <w:hidden/>
    <w:uiPriority w:val="99"/>
    <w:semiHidden/>
    <w:rsid w:val="00590984"/>
    <w:rPr>
      <w:rFonts w:ascii="Arial" w:hAnsi="Arial"/>
      <w:snapToGrid w:val="0"/>
      <w:sz w:val="24"/>
    </w:rPr>
  </w:style>
  <w:style w:type="paragraph" w:customStyle="1" w:styleId="zzTrailerDocName">
    <w:name w:val="zzTrailerDocName"/>
    <w:basedOn w:val="Normal"/>
    <w:link w:val="zzTrailerDocNameChar"/>
    <w:rsid w:val="005B589B"/>
    <w:pPr>
      <w:tabs>
        <w:tab w:val="left" w:pos="-1440"/>
      </w:tabs>
      <w:ind w:left="2160" w:hanging="540"/>
    </w:pPr>
    <w:rPr>
      <w:rFonts w:cs="Arial"/>
      <w:color w:val="000000"/>
      <w:sz w:val="16"/>
      <w:szCs w:val="24"/>
    </w:rPr>
  </w:style>
  <w:style w:type="character" w:customStyle="1" w:styleId="zzTrailerDocNameChar">
    <w:name w:val="zzTrailerDocName Char"/>
    <w:basedOn w:val="DefaultParagraphFont"/>
    <w:link w:val="zzTrailerDocName"/>
    <w:rsid w:val="005B589B"/>
    <w:rPr>
      <w:rFonts w:ascii="Arial" w:hAnsi="Arial" w:cs="Arial"/>
      <w:snapToGrid w:val="0"/>
      <w:color w:val="000000"/>
      <w:sz w:val="16"/>
      <w:szCs w:val="24"/>
    </w:rPr>
  </w:style>
  <w:style w:type="character" w:styleId="UnresolvedMention">
    <w:name w:val="Unresolved Mention"/>
    <w:basedOn w:val="DefaultParagraphFont"/>
    <w:uiPriority w:val="99"/>
    <w:semiHidden/>
    <w:unhideWhenUsed/>
    <w:rsid w:val="0013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949">
      <w:bodyDiv w:val="1"/>
      <w:marLeft w:val="0"/>
      <w:marRight w:val="0"/>
      <w:marTop w:val="0"/>
      <w:marBottom w:val="0"/>
      <w:divBdr>
        <w:top w:val="none" w:sz="0" w:space="0" w:color="auto"/>
        <w:left w:val="none" w:sz="0" w:space="0" w:color="auto"/>
        <w:bottom w:val="none" w:sz="0" w:space="0" w:color="auto"/>
        <w:right w:val="none" w:sz="0" w:space="0" w:color="auto"/>
      </w:divBdr>
    </w:div>
    <w:div w:id="120614382">
      <w:bodyDiv w:val="1"/>
      <w:marLeft w:val="0"/>
      <w:marRight w:val="0"/>
      <w:marTop w:val="0"/>
      <w:marBottom w:val="0"/>
      <w:divBdr>
        <w:top w:val="none" w:sz="0" w:space="0" w:color="auto"/>
        <w:left w:val="none" w:sz="0" w:space="0" w:color="auto"/>
        <w:bottom w:val="none" w:sz="0" w:space="0" w:color="auto"/>
        <w:right w:val="none" w:sz="0" w:space="0" w:color="auto"/>
      </w:divBdr>
    </w:div>
    <w:div w:id="488327064">
      <w:bodyDiv w:val="1"/>
      <w:marLeft w:val="0"/>
      <w:marRight w:val="0"/>
      <w:marTop w:val="0"/>
      <w:marBottom w:val="0"/>
      <w:divBdr>
        <w:top w:val="none" w:sz="0" w:space="0" w:color="auto"/>
        <w:left w:val="none" w:sz="0" w:space="0" w:color="auto"/>
        <w:bottom w:val="none" w:sz="0" w:space="0" w:color="auto"/>
        <w:right w:val="none" w:sz="0" w:space="0" w:color="auto"/>
      </w:divBdr>
    </w:div>
    <w:div w:id="706032342">
      <w:bodyDiv w:val="1"/>
      <w:marLeft w:val="0"/>
      <w:marRight w:val="0"/>
      <w:marTop w:val="0"/>
      <w:marBottom w:val="0"/>
      <w:divBdr>
        <w:top w:val="none" w:sz="0" w:space="0" w:color="auto"/>
        <w:left w:val="none" w:sz="0" w:space="0" w:color="auto"/>
        <w:bottom w:val="none" w:sz="0" w:space="0" w:color="auto"/>
        <w:right w:val="none" w:sz="0" w:space="0" w:color="auto"/>
      </w:divBdr>
    </w:div>
    <w:div w:id="759254075">
      <w:bodyDiv w:val="1"/>
      <w:marLeft w:val="0"/>
      <w:marRight w:val="0"/>
      <w:marTop w:val="0"/>
      <w:marBottom w:val="0"/>
      <w:divBdr>
        <w:top w:val="none" w:sz="0" w:space="0" w:color="auto"/>
        <w:left w:val="none" w:sz="0" w:space="0" w:color="auto"/>
        <w:bottom w:val="none" w:sz="0" w:space="0" w:color="auto"/>
        <w:right w:val="none" w:sz="0" w:space="0" w:color="auto"/>
      </w:divBdr>
    </w:div>
    <w:div w:id="893544275">
      <w:bodyDiv w:val="1"/>
      <w:marLeft w:val="0"/>
      <w:marRight w:val="0"/>
      <w:marTop w:val="0"/>
      <w:marBottom w:val="0"/>
      <w:divBdr>
        <w:top w:val="single" w:sz="12" w:space="0" w:color="767575"/>
        <w:left w:val="none" w:sz="0" w:space="0" w:color="auto"/>
        <w:bottom w:val="none" w:sz="0" w:space="0" w:color="auto"/>
        <w:right w:val="none" w:sz="0" w:space="0" w:color="auto"/>
      </w:divBdr>
      <w:divsChild>
        <w:div w:id="1227106989">
          <w:marLeft w:val="0"/>
          <w:marRight w:val="0"/>
          <w:marTop w:val="0"/>
          <w:marBottom w:val="0"/>
          <w:divBdr>
            <w:top w:val="none" w:sz="0" w:space="0" w:color="auto"/>
            <w:left w:val="none" w:sz="0" w:space="0" w:color="auto"/>
            <w:bottom w:val="none" w:sz="0" w:space="0" w:color="auto"/>
            <w:right w:val="none" w:sz="0" w:space="0" w:color="auto"/>
          </w:divBdr>
          <w:divsChild>
            <w:div w:id="2065135940">
              <w:marLeft w:val="0"/>
              <w:marRight w:val="0"/>
              <w:marTop w:val="0"/>
              <w:marBottom w:val="0"/>
              <w:divBdr>
                <w:top w:val="none" w:sz="0" w:space="0" w:color="auto"/>
                <w:left w:val="none" w:sz="0" w:space="0" w:color="auto"/>
                <w:bottom w:val="none" w:sz="0" w:space="0" w:color="auto"/>
                <w:right w:val="none" w:sz="0" w:space="0" w:color="auto"/>
              </w:divBdr>
              <w:divsChild>
                <w:div w:id="16946502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5479820">
                      <w:marLeft w:val="30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sChild>
                            <w:div w:id="109787933">
                              <w:marLeft w:val="0"/>
                              <w:marRight w:val="0"/>
                              <w:marTop w:val="0"/>
                              <w:marBottom w:val="0"/>
                              <w:divBdr>
                                <w:top w:val="none" w:sz="0" w:space="0" w:color="auto"/>
                                <w:left w:val="none" w:sz="0" w:space="0" w:color="auto"/>
                                <w:bottom w:val="none" w:sz="0" w:space="0" w:color="auto"/>
                                <w:right w:val="none" w:sz="0" w:space="0" w:color="auto"/>
                              </w:divBdr>
                              <w:divsChild>
                                <w:div w:id="722873661">
                                  <w:marLeft w:val="0"/>
                                  <w:marRight w:val="0"/>
                                  <w:marTop w:val="0"/>
                                  <w:marBottom w:val="0"/>
                                  <w:divBdr>
                                    <w:top w:val="none" w:sz="0" w:space="0" w:color="auto"/>
                                    <w:left w:val="none" w:sz="0" w:space="0" w:color="auto"/>
                                    <w:bottom w:val="none" w:sz="0" w:space="0" w:color="auto"/>
                                    <w:right w:val="none" w:sz="0" w:space="0" w:color="auto"/>
                                  </w:divBdr>
                                  <w:divsChild>
                                    <w:div w:id="1045178142">
                                      <w:marLeft w:val="0"/>
                                      <w:marRight w:val="0"/>
                                      <w:marTop w:val="0"/>
                                      <w:marBottom w:val="0"/>
                                      <w:divBdr>
                                        <w:top w:val="none" w:sz="0" w:space="0" w:color="auto"/>
                                        <w:left w:val="none" w:sz="0" w:space="0" w:color="auto"/>
                                        <w:bottom w:val="none" w:sz="0" w:space="0" w:color="auto"/>
                                        <w:right w:val="none" w:sz="0" w:space="0" w:color="auto"/>
                                      </w:divBdr>
                                      <w:divsChild>
                                        <w:div w:id="416100567">
                                          <w:marLeft w:val="0"/>
                                          <w:marRight w:val="0"/>
                                          <w:marTop w:val="0"/>
                                          <w:marBottom w:val="0"/>
                                          <w:divBdr>
                                            <w:top w:val="none" w:sz="0" w:space="0" w:color="auto"/>
                                            <w:left w:val="none" w:sz="0" w:space="0" w:color="auto"/>
                                            <w:bottom w:val="none" w:sz="0" w:space="0" w:color="auto"/>
                                            <w:right w:val="none" w:sz="0" w:space="0" w:color="auto"/>
                                          </w:divBdr>
                                          <w:divsChild>
                                            <w:div w:id="771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196166">
      <w:bodyDiv w:val="1"/>
      <w:marLeft w:val="0"/>
      <w:marRight w:val="0"/>
      <w:marTop w:val="0"/>
      <w:marBottom w:val="0"/>
      <w:divBdr>
        <w:top w:val="none" w:sz="0" w:space="0" w:color="auto"/>
        <w:left w:val="none" w:sz="0" w:space="0" w:color="auto"/>
        <w:bottom w:val="none" w:sz="0" w:space="0" w:color="auto"/>
        <w:right w:val="none" w:sz="0" w:space="0" w:color="auto"/>
      </w:divBdr>
    </w:div>
    <w:div w:id="1398212003">
      <w:bodyDiv w:val="1"/>
      <w:marLeft w:val="0"/>
      <w:marRight w:val="0"/>
      <w:marTop w:val="0"/>
      <w:marBottom w:val="0"/>
      <w:divBdr>
        <w:top w:val="none" w:sz="0" w:space="0" w:color="auto"/>
        <w:left w:val="none" w:sz="0" w:space="0" w:color="auto"/>
        <w:bottom w:val="none" w:sz="0" w:space="0" w:color="auto"/>
        <w:right w:val="none" w:sz="0" w:space="0" w:color="auto"/>
      </w:divBdr>
    </w:div>
    <w:div w:id="1640301078">
      <w:bodyDiv w:val="1"/>
      <w:marLeft w:val="0"/>
      <w:marRight w:val="0"/>
      <w:marTop w:val="0"/>
      <w:marBottom w:val="0"/>
      <w:divBdr>
        <w:top w:val="single" w:sz="12" w:space="0" w:color="767575"/>
        <w:left w:val="none" w:sz="0" w:space="0" w:color="auto"/>
        <w:bottom w:val="none" w:sz="0" w:space="0" w:color="auto"/>
        <w:right w:val="none" w:sz="0" w:space="0" w:color="auto"/>
      </w:divBdr>
      <w:divsChild>
        <w:div w:id="784155882">
          <w:marLeft w:val="0"/>
          <w:marRight w:val="0"/>
          <w:marTop w:val="0"/>
          <w:marBottom w:val="0"/>
          <w:divBdr>
            <w:top w:val="none" w:sz="0" w:space="0" w:color="auto"/>
            <w:left w:val="none" w:sz="0" w:space="0" w:color="auto"/>
            <w:bottom w:val="none" w:sz="0" w:space="0" w:color="auto"/>
            <w:right w:val="none" w:sz="0" w:space="0" w:color="auto"/>
          </w:divBdr>
          <w:divsChild>
            <w:div w:id="273443171">
              <w:marLeft w:val="0"/>
              <w:marRight w:val="0"/>
              <w:marTop w:val="0"/>
              <w:marBottom w:val="0"/>
              <w:divBdr>
                <w:top w:val="none" w:sz="0" w:space="0" w:color="auto"/>
                <w:left w:val="none" w:sz="0" w:space="0" w:color="auto"/>
                <w:bottom w:val="none" w:sz="0" w:space="0" w:color="auto"/>
                <w:right w:val="none" w:sz="0" w:space="0" w:color="auto"/>
              </w:divBdr>
              <w:divsChild>
                <w:div w:id="18049314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71840386">
                      <w:marLeft w:val="300"/>
                      <w:marRight w:val="0"/>
                      <w:marTop w:val="0"/>
                      <w:marBottom w:val="0"/>
                      <w:divBdr>
                        <w:top w:val="none" w:sz="0" w:space="0" w:color="auto"/>
                        <w:left w:val="none" w:sz="0" w:space="0" w:color="auto"/>
                        <w:bottom w:val="none" w:sz="0" w:space="0" w:color="auto"/>
                        <w:right w:val="none" w:sz="0" w:space="0" w:color="auto"/>
                      </w:divBdr>
                      <w:divsChild>
                        <w:div w:id="1573925234">
                          <w:marLeft w:val="0"/>
                          <w:marRight w:val="0"/>
                          <w:marTop w:val="0"/>
                          <w:marBottom w:val="0"/>
                          <w:divBdr>
                            <w:top w:val="none" w:sz="0" w:space="0" w:color="auto"/>
                            <w:left w:val="none" w:sz="0" w:space="0" w:color="auto"/>
                            <w:bottom w:val="none" w:sz="0" w:space="0" w:color="auto"/>
                            <w:right w:val="none" w:sz="0" w:space="0" w:color="auto"/>
                          </w:divBdr>
                          <w:divsChild>
                            <w:div w:id="635141224">
                              <w:marLeft w:val="0"/>
                              <w:marRight w:val="0"/>
                              <w:marTop w:val="0"/>
                              <w:marBottom w:val="0"/>
                              <w:divBdr>
                                <w:top w:val="none" w:sz="0" w:space="0" w:color="auto"/>
                                <w:left w:val="none" w:sz="0" w:space="0" w:color="auto"/>
                                <w:bottom w:val="none" w:sz="0" w:space="0" w:color="auto"/>
                                <w:right w:val="none" w:sz="0" w:space="0" w:color="auto"/>
                              </w:divBdr>
                              <w:divsChild>
                                <w:div w:id="115178202">
                                  <w:marLeft w:val="0"/>
                                  <w:marRight w:val="0"/>
                                  <w:marTop w:val="0"/>
                                  <w:marBottom w:val="0"/>
                                  <w:divBdr>
                                    <w:top w:val="none" w:sz="0" w:space="0" w:color="auto"/>
                                    <w:left w:val="none" w:sz="0" w:space="0" w:color="auto"/>
                                    <w:bottom w:val="none" w:sz="0" w:space="0" w:color="auto"/>
                                    <w:right w:val="none" w:sz="0" w:space="0" w:color="auto"/>
                                  </w:divBdr>
                                  <w:divsChild>
                                    <w:div w:id="154691825">
                                      <w:marLeft w:val="0"/>
                                      <w:marRight w:val="0"/>
                                      <w:marTop w:val="0"/>
                                      <w:marBottom w:val="0"/>
                                      <w:divBdr>
                                        <w:top w:val="none" w:sz="0" w:space="0" w:color="auto"/>
                                        <w:left w:val="none" w:sz="0" w:space="0" w:color="auto"/>
                                        <w:bottom w:val="none" w:sz="0" w:space="0" w:color="auto"/>
                                        <w:right w:val="none" w:sz="0" w:space="0" w:color="auto"/>
                                      </w:divBdr>
                                      <w:divsChild>
                                        <w:div w:id="542441966">
                                          <w:marLeft w:val="0"/>
                                          <w:marRight w:val="0"/>
                                          <w:marTop w:val="0"/>
                                          <w:marBottom w:val="0"/>
                                          <w:divBdr>
                                            <w:top w:val="none" w:sz="0" w:space="0" w:color="auto"/>
                                            <w:left w:val="none" w:sz="0" w:space="0" w:color="auto"/>
                                            <w:bottom w:val="none" w:sz="0" w:space="0" w:color="auto"/>
                                            <w:right w:val="none" w:sz="0" w:space="0" w:color="auto"/>
                                          </w:divBdr>
                                          <w:divsChild>
                                            <w:div w:id="16538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4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FF74-1CD1-4365-BB1C-DC610A83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LO EO 2008</vt:lpstr>
    </vt:vector>
  </TitlesOfParts>
  <Company>State of California</Company>
  <LinksUpToDate>false</LinksUpToDate>
  <CharactersWithSpaces>22061</CharactersWithSpaces>
  <SharedDoc>false</SharedDoc>
  <HLinks>
    <vt:vector size="24" baseType="variant">
      <vt:variant>
        <vt:i4>3735664</vt:i4>
      </vt:variant>
      <vt:variant>
        <vt:i4>9</vt:i4>
      </vt:variant>
      <vt:variant>
        <vt:i4>0</vt:i4>
      </vt:variant>
      <vt:variant>
        <vt:i4>5</vt:i4>
      </vt:variant>
      <vt:variant>
        <vt:lpwstr>http://www.insurance.ca.gov/0200-industry/0120-notices/upload/NoticeRepSub.pdf</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EO 2008</dc:title>
  <dc:creator>CDI Education Section</dc:creator>
  <cp:lastModifiedBy>Alon Schwartz</cp:lastModifiedBy>
  <cp:revision>3</cp:revision>
  <cp:lastPrinted>2018-01-29T19:35:00Z</cp:lastPrinted>
  <dcterms:created xsi:type="dcterms:W3CDTF">2023-01-19T19:33:00Z</dcterms:created>
  <dcterms:modified xsi:type="dcterms:W3CDTF">2023-01-19T19:33:00Z</dcterms:modified>
</cp:coreProperties>
</file>