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C7D90" w14:textId="77777777" w:rsidR="00E73D79" w:rsidRPr="00E73D79" w:rsidRDefault="00E73D79" w:rsidP="00E73D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3D79">
        <w:rPr>
          <w:rFonts w:ascii="Times New Roman" w:eastAsia="Times New Roman" w:hAnsi="Times New Roman" w:cs="Times New Roman"/>
          <w:b/>
          <w:bCs/>
          <w:kern w:val="36"/>
          <w:sz w:val="48"/>
          <w:szCs w:val="48"/>
        </w:rPr>
        <w:t>Wildfire Risk Report Format and Methodology</w:t>
      </w:r>
    </w:p>
    <w:p w14:paraId="14E9EA09" w14:textId="0122F5C6" w:rsidR="00E73D79" w:rsidRPr="00E73D79" w:rsidRDefault="00E73D79" w:rsidP="00E73D79">
      <w:p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color w:val="D35400"/>
          <w:sz w:val="24"/>
          <w:szCs w:val="24"/>
        </w:rPr>
        <w:t xml:space="preserve">(A Fire and Wildfire Exposure Risk Manual - Updated </w:t>
      </w:r>
      <w:r w:rsidR="00967086">
        <w:rPr>
          <w:rFonts w:ascii="Times New Roman" w:eastAsia="Times New Roman" w:hAnsi="Times New Roman" w:cs="Times New Roman"/>
          <w:color w:val="D35400"/>
          <w:sz w:val="24"/>
          <w:szCs w:val="24"/>
        </w:rPr>
        <w:t>July 07</w:t>
      </w:r>
      <w:r w:rsidRPr="00E73D79">
        <w:rPr>
          <w:rFonts w:ascii="Times New Roman" w:eastAsia="Times New Roman" w:hAnsi="Times New Roman" w:cs="Times New Roman"/>
          <w:color w:val="D35400"/>
          <w:sz w:val="24"/>
          <w:szCs w:val="24"/>
        </w:rPr>
        <w:t>, 202</w:t>
      </w:r>
      <w:r w:rsidR="00A03765">
        <w:rPr>
          <w:rFonts w:ascii="Times New Roman" w:eastAsia="Times New Roman" w:hAnsi="Times New Roman" w:cs="Times New Roman"/>
          <w:color w:val="D35400"/>
          <w:sz w:val="24"/>
          <w:szCs w:val="24"/>
        </w:rPr>
        <w:t>5</w:t>
      </w:r>
      <w:r w:rsidRPr="00E73D79">
        <w:rPr>
          <w:rFonts w:ascii="Times New Roman" w:eastAsia="Times New Roman" w:hAnsi="Times New Roman" w:cs="Times New Roman"/>
          <w:color w:val="D35400"/>
          <w:sz w:val="24"/>
          <w:szCs w:val="24"/>
        </w:rPr>
        <w:t>)</w:t>
      </w:r>
    </w:p>
    <w:p w14:paraId="6CC42452" w14:textId="77777777" w:rsidR="00F6347C" w:rsidRDefault="00F6347C" w:rsidP="00E73D79">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Methodology</w:t>
      </w:r>
    </w:p>
    <w:p w14:paraId="3BB261D0" w14:textId="468F8B9B" w:rsidR="00F6347C" w:rsidRPr="001267A7" w:rsidRDefault="00F6347C" w:rsidP="001267A7">
      <w:pPr>
        <w:spacing w:before="100" w:beforeAutospacing="1" w:after="100" w:afterAutospacing="1" w:line="240" w:lineRule="auto"/>
        <w:rPr>
          <w:rFonts w:ascii="Times New Roman" w:eastAsia="Times New Roman" w:hAnsi="Times New Roman" w:cs="Times New Roman"/>
          <w:sz w:val="24"/>
          <w:szCs w:val="24"/>
        </w:rPr>
      </w:pPr>
      <w:r w:rsidRPr="001267A7">
        <w:rPr>
          <w:rFonts w:ascii="Times New Roman" w:eastAsia="Times New Roman" w:hAnsi="Times New Roman" w:cs="Times New Roman"/>
          <w:b/>
          <w:sz w:val="24"/>
          <w:szCs w:val="24"/>
        </w:rPr>
        <w:t>Background</w:t>
      </w:r>
      <w:r w:rsidRPr="001267A7">
        <w:rPr>
          <w:rFonts w:ascii="Times New Roman" w:eastAsia="Times New Roman" w:hAnsi="Times New Roman" w:cs="Times New Roman"/>
          <w:sz w:val="24"/>
          <w:szCs w:val="24"/>
        </w:rPr>
        <w:t xml:space="preserve">: The data elements described </w:t>
      </w:r>
      <w:r w:rsidR="00FA523F" w:rsidRPr="001267A7">
        <w:rPr>
          <w:rFonts w:ascii="Times New Roman" w:eastAsia="Times New Roman" w:hAnsi="Times New Roman" w:cs="Times New Roman"/>
          <w:sz w:val="24"/>
          <w:szCs w:val="24"/>
        </w:rPr>
        <w:t>contained in</w:t>
      </w:r>
      <w:r w:rsidRPr="001267A7">
        <w:rPr>
          <w:rFonts w:ascii="Times New Roman" w:eastAsia="Times New Roman" w:hAnsi="Times New Roman" w:cs="Times New Roman"/>
          <w:sz w:val="24"/>
          <w:szCs w:val="24"/>
        </w:rPr>
        <w:t xml:space="preserve"> this report are derived from the</w:t>
      </w:r>
      <w:r w:rsidR="00FA523F" w:rsidRPr="001267A7">
        <w:rPr>
          <w:rFonts w:ascii="Times New Roman" w:eastAsia="Times New Roman" w:hAnsi="Times New Roman" w:cs="Times New Roman"/>
          <w:sz w:val="24"/>
          <w:szCs w:val="24"/>
        </w:rPr>
        <w:t xml:space="preserve"> Department’s biennial</w:t>
      </w:r>
      <w:r w:rsidRPr="001267A7">
        <w:rPr>
          <w:rFonts w:ascii="Times New Roman" w:eastAsia="Times New Roman" w:hAnsi="Times New Roman" w:cs="Times New Roman"/>
          <w:sz w:val="24"/>
          <w:szCs w:val="24"/>
        </w:rPr>
        <w:t xml:space="preserve"> Personal Property Experience (PPE) data call. The purpose of the PPE is to obtain </w:t>
      </w:r>
      <w:r w:rsidR="00FA523F" w:rsidRPr="001267A7">
        <w:rPr>
          <w:rFonts w:ascii="Times New Roman" w:eastAsia="Times New Roman" w:hAnsi="Times New Roman" w:cs="Times New Roman"/>
          <w:sz w:val="24"/>
          <w:szCs w:val="24"/>
        </w:rPr>
        <w:t>residential property insurance</w:t>
      </w:r>
      <w:r w:rsidRPr="001267A7">
        <w:rPr>
          <w:rFonts w:ascii="Times New Roman" w:eastAsia="Times New Roman" w:hAnsi="Times New Roman" w:cs="Times New Roman"/>
          <w:sz w:val="24"/>
          <w:szCs w:val="24"/>
        </w:rPr>
        <w:t xml:space="preserve"> data for each policy in-force in California at any time during the </w:t>
      </w:r>
      <w:r w:rsidR="00FA523F" w:rsidRPr="001267A7">
        <w:rPr>
          <w:rFonts w:ascii="Times New Roman" w:eastAsia="Times New Roman" w:hAnsi="Times New Roman" w:cs="Times New Roman"/>
          <w:sz w:val="24"/>
          <w:szCs w:val="24"/>
        </w:rPr>
        <w:t>three</w:t>
      </w:r>
      <w:r w:rsidRPr="001267A7">
        <w:rPr>
          <w:rFonts w:ascii="Times New Roman" w:eastAsia="Times New Roman" w:hAnsi="Times New Roman" w:cs="Times New Roman"/>
          <w:sz w:val="24"/>
          <w:szCs w:val="24"/>
        </w:rPr>
        <w:t xml:space="preserve"> calenda</w:t>
      </w:r>
      <w:r w:rsidR="00FA523F" w:rsidRPr="001267A7">
        <w:rPr>
          <w:rFonts w:ascii="Times New Roman" w:eastAsia="Times New Roman" w:hAnsi="Times New Roman" w:cs="Times New Roman"/>
          <w:sz w:val="24"/>
          <w:szCs w:val="24"/>
        </w:rPr>
        <w:t>r</w:t>
      </w:r>
      <w:r w:rsidRPr="001267A7">
        <w:rPr>
          <w:rFonts w:ascii="Times New Roman" w:eastAsia="Times New Roman" w:hAnsi="Times New Roman" w:cs="Times New Roman"/>
          <w:sz w:val="24"/>
          <w:szCs w:val="24"/>
        </w:rPr>
        <w:t xml:space="preserve"> years immediately prior to collection. Insurers with $10M or more in direct written premiums for residential policies in lines of business 1.0 (Dwelling Fire), 4.0 (Homeowners), or 12 (EQ only) for a given calendar year are required to report.</w:t>
      </w:r>
    </w:p>
    <w:p w14:paraId="455F4480" w14:textId="77777777" w:rsidR="00F6347C" w:rsidRPr="001267A7" w:rsidRDefault="00F6347C" w:rsidP="001267A7">
      <w:pPr>
        <w:spacing w:before="100" w:beforeAutospacing="1" w:after="100" w:afterAutospacing="1" w:line="240" w:lineRule="auto"/>
        <w:rPr>
          <w:rFonts w:ascii="Times New Roman" w:eastAsia="Times New Roman" w:hAnsi="Times New Roman" w:cs="Times New Roman"/>
          <w:sz w:val="24"/>
          <w:szCs w:val="24"/>
        </w:rPr>
      </w:pPr>
      <w:r w:rsidRPr="001267A7">
        <w:rPr>
          <w:rFonts w:ascii="Times New Roman" w:eastAsia="Times New Roman" w:hAnsi="Times New Roman" w:cs="Times New Roman"/>
          <w:b/>
          <w:sz w:val="24"/>
          <w:szCs w:val="24"/>
        </w:rPr>
        <w:t>Weighted Values</w:t>
      </w:r>
      <w:r w:rsidRPr="001267A7">
        <w:rPr>
          <w:rFonts w:ascii="Times New Roman" w:eastAsia="Times New Roman" w:hAnsi="Times New Roman" w:cs="Times New Roman"/>
          <w:sz w:val="24"/>
          <w:szCs w:val="24"/>
        </w:rPr>
        <w:t xml:space="preserve">: Because insurers provide data on all policies in-force during the prior </w:t>
      </w:r>
      <w:r w:rsidR="00FA523F" w:rsidRPr="001267A7">
        <w:rPr>
          <w:rFonts w:ascii="Times New Roman" w:eastAsia="Times New Roman" w:hAnsi="Times New Roman" w:cs="Times New Roman"/>
          <w:sz w:val="24"/>
          <w:szCs w:val="24"/>
        </w:rPr>
        <w:t>three</w:t>
      </w:r>
      <w:r w:rsidRPr="001267A7">
        <w:rPr>
          <w:rFonts w:ascii="Times New Roman" w:eastAsia="Times New Roman" w:hAnsi="Times New Roman" w:cs="Times New Roman"/>
          <w:sz w:val="24"/>
          <w:szCs w:val="24"/>
        </w:rPr>
        <w:t xml:space="preserve"> calendar years (as opposed to all policies currently in-force on a specific date), it is possible that a </w:t>
      </w:r>
      <w:r w:rsidR="00FA523F" w:rsidRPr="001267A7">
        <w:rPr>
          <w:rFonts w:ascii="Times New Roman" w:eastAsia="Times New Roman" w:hAnsi="Times New Roman" w:cs="Times New Roman"/>
          <w:sz w:val="24"/>
          <w:szCs w:val="24"/>
        </w:rPr>
        <w:t>dwelling</w:t>
      </w:r>
      <w:r w:rsidRPr="001267A7">
        <w:rPr>
          <w:rFonts w:ascii="Times New Roman" w:eastAsia="Times New Roman" w:hAnsi="Times New Roman" w:cs="Times New Roman"/>
          <w:sz w:val="24"/>
          <w:szCs w:val="24"/>
        </w:rPr>
        <w:t xml:space="preserve"> could be double-counted if a policyholder switched carriers during the calendar year. In order to address this issue, we weighted the values of certain data elements by the fractional portion of the year that a structure was insured.</w:t>
      </w:r>
      <w:r w:rsidR="00FA523F" w:rsidRPr="001267A7">
        <w:rPr>
          <w:rFonts w:ascii="Times New Roman" w:eastAsia="Times New Roman" w:hAnsi="Times New Roman" w:cs="Times New Roman"/>
          <w:sz w:val="24"/>
          <w:szCs w:val="24"/>
        </w:rPr>
        <w:t xml:space="preserve"> In the current data set, we weighted the average amount of Coverage A, the average amount of Coverage C, the average fire risk, and the average PPC score.</w:t>
      </w:r>
    </w:p>
    <w:p w14:paraId="72D3B777" w14:textId="77777777" w:rsidR="00F6347C" w:rsidRPr="001267A7" w:rsidRDefault="00F6347C" w:rsidP="001267A7">
      <w:pPr>
        <w:spacing w:before="100" w:beforeAutospacing="1" w:after="100" w:afterAutospacing="1" w:line="240" w:lineRule="auto"/>
        <w:rPr>
          <w:rFonts w:ascii="Times New Roman" w:eastAsia="Times New Roman" w:hAnsi="Times New Roman" w:cs="Times New Roman"/>
          <w:sz w:val="24"/>
          <w:szCs w:val="24"/>
        </w:rPr>
      </w:pPr>
      <w:r w:rsidRPr="001267A7">
        <w:rPr>
          <w:rFonts w:ascii="Times New Roman" w:eastAsia="Times New Roman" w:hAnsi="Times New Roman" w:cs="Times New Roman"/>
          <w:b/>
          <w:sz w:val="24"/>
          <w:szCs w:val="24"/>
        </w:rPr>
        <w:t>Example of Weighted Values</w:t>
      </w:r>
      <w:r w:rsidRPr="001267A7">
        <w:rPr>
          <w:rFonts w:ascii="Times New Roman" w:eastAsia="Times New Roman" w:hAnsi="Times New Roman" w:cs="Times New Roman"/>
          <w:sz w:val="24"/>
          <w:szCs w:val="24"/>
        </w:rPr>
        <w:t xml:space="preserve">: Imagine a ZIP code with two insured homes. Policyholder A purchases Policy </w:t>
      </w:r>
      <w:r w:rsidR="00F57892">
        <w:rPr>
          <w:rFonts w:ascii="Times New Roman" w:eastAsia="Times New Roman" w:hAnsi="Times New Roman" w:cs="Times New Roman"/>
          <w:sz w:val="24"/>
          <w:szCs w:val="24"/>
        </w:rPr>
        <w:t>A</w:t>
      </w:r>
      <w:r w:rsidRPr="001267A7">
        <w:rPr>
          <w:rFonts w:ascii="Times New Roman" w:eastAsia="Times New Roman" w:hAnsi="Times New Roman" w:cs="Times New Roman"/>
          <w:sz w:val="24"/>
          <w:szCs w:val="24"/>
        </w:rPr>
        <w:t xml:space="preserve">1 with $250,000 of </w:t>
      </w:r>
      <w:r w:rsidR="00F57892">
        <w:rPr>
          <w:rFonts w:ascii="Times New Roman" w:eastAsia="Times New Roman" w:hAnsi="Times New Roman" w:cs="Times New Roman"/>
          <w:sz w:val="24"/>
          <w:szCs w:val="24"/>
        </w:rPr>
        <w:t>coverage</w:t>
      </w:r>
      <w:r w:rsidRPr="001267A7">
        <w:rPr>
          <w:rFonts w:ascii="Times New Roman" w:eastAsia="Times New Roman" w:hAnsi="Times New Roman" w:cs="Times New Roman"/>
          <w:sz w:val="24"/>
          <w:szCs w:val="24"/>
        </w:rPr>
        <w:t xml:space="preserve"> from January 1</w:t>
      </w:r>
      <w:r w:rsidR="00F57892">
        <w:rPr>
          <w:rFonts w:ascii="Times New Roman" w:eastAsia="Times New Roman" w:hAnsi="Times New Roman" w:cs="Times New Roman"/>
          <w:sz w:val="24"/>
          <w:szCs w:val="24"/>
        </w:rPr>
        <w:t xml:space="preserve"> </w:t>
      </w:r>
      <w:r w:rsidRPr="001267A7">
        <w:rPr>
          <w:rFonts w:ascii="Times New Roman" w:eastAsia="Times New Roman" w:hAnsi="Times New Roman" w:cs="Times New Roman"/>
          <w:sz w:val="24"/>
          <w:szCs w:val="24"/>
        </w:rPr>
        <w:t>through June 3</w:t>
      </w:r>
      <w:r w:rsidR="00F57892">
        <w:rPr>
          <w:rFonts w:ascii="Times New Roman" w:eastAsia="Times New Roman" w:hAnsi="Times New Roman" w:cs="Times New Roman"/>
          <w:sz w:val="24"/>
          <w:szCs w:val="24"/>
        </w:rPr>
        <w:t>0</w:t>
      </w:r>
      <w:r w:rsidRPr="001267A7">
        <w:rPr>
          <w:rFonts w:ascii="Times New Roman" w:eastAsia="Times New Roman" w:hAnsi="Times New Roman" w:cs="Times New Roman"/>
          <w:sz w:val="24"/>
          <w:szCs w:val="24"/>
        </w:rPr>
        <w:t xml:space="preserve">. She then switches to a different carrier, and purchases Policy </w:t>
      </w:r>
      <w:r w:rsidR="00F57892">
        <w:rPr>
          <w:rFonts w:ascii="Times New Roman" w:eastAsia="Times New Roman" w:hAnsi="Times New Roman" w:cs="Times New Roman"/>
          <w:sz w:val="24"/>
          <w:szCs w:val="24"/>
        </w:rPr>
        <w:t>A</w:t>
      </w:r>
      <w:r w:rsidRPr="001267A7">
        <w:rPr>
          <w:rFonts w:ascii="Times New Roman" w:eastAsia="Times New Roman" w:hAnsi="Times New Roman" w:cs="Times New Roman"/>
          <w:sz w:val="24"/>
          <w:szCs w:val="24"/>
        </w:rPr>
        <w:t xml:space="preserve">2 with $250,000 of </w:t>
      </w:r>
      <w:r w:rsidR="00F57892">
        <w:rPr>
          <w:rFonts w:ascii="Times New Roman" w:eastAsia="Times New Roman" w:hAnsi="Times New Roman" w:cs="Times New Roman"/>
          <w:sz w:val="24"/>
          <w:szCs w:val="24"/>
        </w:rPr>
        <w:t>coverage</w:t>
      </w:r>
      <w:r w:rsidRPr="001267A7">
        <w:rPr>
          <w:rFonts w:ascii="Times New Roman" w:eastAsia="Times New Roman" w:hAnsi="Times New Roman" w:cs="Times New Roman"/>
          <w:sz w:val="24"/>
          <w:szCs w:val="24"/>
        </w:rPr>
        <w:t xml:space="preserve"> from July 1</w:t>
      </w:r>
      <w:r w:rsidR="00F57892">
        <w:rPr>
          <w:rFonts w:ascii="Times New Roman" w:eastAsia="Times New Roman" w:hAnsi="Times New Roman" w:cs="Times New Roman"/>
          <w:sz w:val="24"/>
          <w:szCs w:val="24"/>
        </w:rPr>
        <w:t xml:space="preserve"> </w:t>
      </w:r>
      <w:r w:rsidRPr="001267A7">
        <w:rPr>
          <w:rFonts w:ascii="Times New Roman" w:eastAsia="Times New Roman" w:hAnsi="Times New Roman" w:cs="Times New Roman"/>
          <w:sz w:val="24"/>
          <w:szCs w:val="24"/>
        </w:rPr>
        <w:t xml:space="preserve">through December 31. Policyholder B has Policy </w:t>
      </w:r>
      <w:r w:rsidR="00F57892">
        <w:rPr>
          <w:rFonts w:ascii="Times New Roman" w:eastAsia="Times New Roman" w:hAnsi="Times New Roman" w:cs="Times New Roman"/>
          <w:sz w:val="24"/>
          <w:szCs w:val="24"/>
        </w:rPr>
        <w:t>B1</w:t>
      </w:r>
      <w:r w:rsidRPr="001267A7">
        <w:rPr>
          <w:rFonts w:ascii="Times New Roman" w:eastAsia="Times New Roman" w:hAnsi="Times New Roman" w:cs="Times New Roman"/>
          <w:sz w:val="24"/>
          <w:szCs w:val="24"/>
        </w:rPr>
        <w:t xml:space="preserve"> with $500,000 of </w:t>
      </w:r>
      <w:r w:rsidR="00F57892">
        <w:rPr>
          <w:rFonts w:ascii="Times New Roman" w:eastAsia="Times New Roman" w:hAnsi="Times New Roman" w:cs="Times New Roman"/>
          <w:sz w:val="24"/>
          <w:szCs w:val="24"/>
        </w:rPr>
        <w:t>coverage</w:t>
      </w:r>
      <w:r w:rsidRPr="001267A7">
        <w:rPr>
          <w:rFonts w:ascii="Times New Roman" w:eastAsia="Times New Roman" w:hAnsi="Times New Roman" w:cs="Times New Roman"/>
          <w:sz w:val="24"/>
          <w:szCs w:val="24"/>
        </w:rPr>
        <w:t xml:space="preserve"> but he stays with the same insurer from January 1</w:t>
      </w:r>
      <w:r w:rsidR="00F57892">
        <w:rPr>
          <w:rFonts w:ascii="Times New Roman" w:eastAsia="Times New Roman" w:hAnsi="Times New Roman" w:cs="Times New Roman"/>
          <w:sz w:val="24"/>
          <w:szCs w:val="24"/>
        </w:rPr>
        <w:t xml:space="preserve"> </w:t>
      </w:r>
      <w:r w:rsidRPr="001267A7">
        <w:rPr>
          <w:rFonts w:ascii="Times New Roman" w:eastAsia="Times New Roman" w:hAnsi="Times New Roman" w:cs="Times New Roman"/>
          <w:sz w:val="24"/>
          <w:szCs w:val="24"/>
        </w:rPr>
        <w:t xml:space="preserve">through December 31. If we took a simple average of the </w:t>
      </w:r>
      <w:r w:rsidR="00F57892">
        <w:rPr>
          <w:rFonts w:ascii="Times New Roman" w:eastAsia="Times New Roman" w:hAnsi="Times New Roman" w:cs="Times New Roman"/>
          <w:sz w:val="24"/>
          <w:szCs w:val="24"/>
        </w:rPr>
        <w:t>coverage</w:t>
      </w:r>
      <w:r w:rsidRPr="001267A7">
        <w:rPr>
          <w:rFonts w:ascii="Times New Roman" w:eastAsia="Times New Roman" w:hAnsi="Times New Roman" w:cs="Times New Roman"/>
          <w:sz w:val="24"/>
          <w:szCs w:val="24"/>
        </w:rPr>
        <w:t xml:space="preserve"> amounts in the ZIP code, we would get an average of (250,000 + 250,000 + 500,000)/3 = $333,333. This is an underestimate, because Policyholder A's property is represented twice in the average. Had Policyholder A not switched carriers, we could calculate the actual average </w:t>
      </w:r>
      <w:r w:rsidR="00F57892">
        <w:rPr>
          <w:rFonts w:ascii="Times New Roman" w:eastAsia="Times New Roman" w:hAnsi="Times New Roman" w:cs="Times New Roman"/>
          <w:sz w:val="24"/>
          <w:szCs w:val="24"/>
        </w:rPr>
        <w:t>coverage</w:t>
      </w:r>
      <w:r w:rsidRPr="001267A7">
        <w:rPr>
          <w:rFonts w:ascii="Times New Roman" w:eastAsia="Times New Roman" w:hAnsi="Times New Roman" w:cs="Times New Roman"/>
          <w:sz w:val="24"/>
          <w:szCs w:val="24"/>
        </w:rPr>
        <w:t xml:space="preserve"> amount as (250,000 + 500,000)/2 = $375,000.</w:t>
      </w:r>
    </w:p>
    <w:p w14:paraId="3F324FAF" w14:textId="77777777" w:rsidR="00F6347C" w:rsidRDefault="00F6347C" w:rsidP="001267A7">
      <w:pPr>
        <w:spacing w:before="100" w:beforeAutospacing="1" w:after="100" w:afterAutospacing="1" w:line="240" w:lineRule="auto"/>
        <w:rPr>
          <w:rFonts w:ascii="Times New Roman" w:eastAsia="Times New Roman" w:hAnsi="Times New Roman" w:cs="Times New Roman"/>
          <w:sz w:val="24"/>
          <w:szCs w:val="24"/>
        </w:rPr>
      </w:pPr>
      <w:r w:rsidRPr="001267A7">
        <w:rPr>
          <w:rFonts w:ascii="Times New Roman" w:eastAsia="Times New Roman" w:hAnsi="Times New Roman" w:cs="Times New Roman"/>
          <w:sz w:val="24"/>
          <w:szCs w:val="24"/>
        </w:rPr>
        <w:t xml:space="preserve">We fix this issue by weighting the coverage amount by the fraction of the year the structure was insured. For example, Policy </w:t>
      </w:r>
      <w:r w:rsidR="00F57892">
        <w:rPr>
          <w:rFonts w:ascii="Times New Roman" w:eastAsia="Times New Roman" w:hAnsi="Times New Roman" w:cs="Times New Roman"/>
          <w:sz w:val="24"/>
          <w:szCs w:val="24"/>
        </w:rPr>
        <w:t>A</w:t>
      </w:r>
      <w:r w:rsidRPr="001267A7">
        <w:rPr>
          <w:rFonts w:ascii="Times New Roman" w:eastAsia="Times New Roman" w:hAnsi="Times New Roman" w:cs="Times New Roman"/>
          <w:sz w:val="24"/>
          <w:szCs w:val="24"/>
        </w:rPr>
        <w:t xml:space="preserve">1 was insured for 6/12 months = 0.5 years, Policy </w:t>
      </w:r>
      <w:r w:rsidR="00F57892">
        <w:rPr>
          <w:rFonts w:ascii="Times New Roman" w:eastAsia="Times New Roman" w:hAnsi="Times New Roman" w:cs="Times New Roman"/>
          <w:sz w:val="24"/>
          <w:szCs w:val="24"/>
        </w:rPr>
        <w:t>A</w:t>
      </w:r>
      <w:r w:rsidRPr="001267A7">
        <w:rPr>
          <w:rFonts w:ascii="Times New Roman" w:eastAsia="Times New Roman" w:hAnsi="Times New Roman" w:cs="Times New Roman"/>
          <w:sz w:val="24"/>
          <w:szCs w:val="24"/>
        </w:rPr>
        <w:t xml:space="preserve">2 was insured for 6/12 months = 0.5 years, and Policy </w:t>
      </w:r>
      <w:r w:rsidR="00F57892">
        <w:rPr>
          <w:rFonts w:ascii="Times New Roman" w:eastAsia="Times New Roman" w:hAnsi="Times New Roman" w:cs="Times New Roman"/>
          <w:sz w:val="24"/>
          <w:szCs w:val="24"/>
        </w:rPr>
        <w:t>B1</w:t>
      </w:r>
      <w:r w:rsidRPr="001267A7">
        <w:rPr>
          <w:rFonts w:ascii="Times New Roman" w:eastAsia="Times New Roman" w:hAnsi="Times New Roman" w:cs="Times New Roman"/>
          <w:sz w:val="24"/>
          <w:szCs w:val="24"/>
        </w:rPr>
        <w:t xml:space="preserve"> was insured for 12/12 months = 1 year. Using those weights, we would get the following weighted </w:t>
      </w:r>
      <w:r w:rsidR="00F57892">
        <w:rPr>
          <w:rFonts w:ascii="Times New Roman" w:eastAsia="Times New Roman" w:hAnsi="Times New Roman" w:cs="Times New Roman"/>
          <w:sz w:val="24"/>
          <w:szCs w:val="24"/>
        </w:rPr>
        <w:t>coverage</w:t>
      </w:r>
      <w:r w:rsidRPr="001267A7">
        <w:rPr>
          <w:rFonts w:ascii="Times New Roman" w:eastAsia="Times New Roman" w:hAnsi="Times New Roman" w:cs="Times New Roman"/>
          <w:sz w:val="24"/>
          <w:szCs w:val="24"/>
        </w:rPr>
        <w:t xml:space="preserve"> amounts: Policy </w:t>
      </w:r>
      <w:r w:rsidR="00F57892">
        <w:rPr>
          <w:rFonts w:ascii="Times New Roman" w:eastAsia="Times New Roman" w:hAnsi="Times New Roman" w:cs="Times New Roman"/>
          <w:sz w:val="24"/>
          <w:szCs w:val="24"/>
        </w:rPr>
        <w:t>A</w:t>
      </w:r>
      <w:r w:rsidRPr="001267A7">
        <w:rPr>
          <w:rFonts w:ascii="Times New Roman" w:eastAsia="Times New Roman" w:hAnsi="Times New Roman" w:cs="Times New Roman"/>
          <w:sz w:val="24"/>
          <w:szCs w:val="24"/>
        </w:rPr>
        <w:t xml:space="preserve">1: 250,000*0.5 years = 125,000, Policy </w:t>
      </w:r>
      <w:r w:rsidR="00F57892">
        <w:rPr>
          <w:rFonts w:ascii="Times New Roman" w:eastAsia="Times New Roman" w:hAnsi="Times New Roman" w:cs="Times New Roman"/>
          <w:sz w:val="24"/>
          <w:szCs w:val="24"/>
        </w:rPr>
        <w:t>A</w:t>
      </w:r>
      <w:r w:rsidRPr="001267A7">
        <w:rPr>
          <w:rFonts w:ascii="Times New Roman" w:eastAsia="Times New Roman" w:hAnsi="Times New Roman" w:cs="Times New Roman"/>
          <w:sz w:val="24"/>
          <w:szCs w:val="24"/>
        </w:rPr>
        <w:t xml:space="preserve">2: 250,000*0.5 years = 125,000, and Policy </w:t>
      </w:r>
      <w:r w:rsidR="00F57892">
        <w:rPr>
          <w:rFonts w:ascii="Times New Roman" w:eastAsia="Times New Roman" w:hAnsi="Times New Roman" w:cs="Times New Roman"/>
          <w:sz w:val="24"/>
          <w:szCs w:val="24"/>
        </w:rPr>
        <w:t>B1</w:t>
      </w:r>
      <w:r w:rsidRPr="001267A7">
        <w:rPr>
          <w:rFonts w:ascii="Times New Roman" w:eastAsia="Times New Roman" w:hAnsi="Times New Roman" w:cs="Times New Roman"/>
          <w:sz w:val="24"/>
          <w:szCs w:val="24"/>
        </w:rPr>
        <w:t>: 500,000*1 year = 500,000. To get an average, we sum up the weighted amounts, and divide by the total number of structure-years insured in the ZIP code: (125,000 + 125,000 + 500,000)/(0.5+0.5+1) = $375,000.</w:t>
      </w:r>
    </w:p>
    <w:p w14:paraId="0827C55E" w14:textId="77777777" w:rsidR="00284970" w:rsidRPr="001267A7" w:rsidRDefault="00284970" w:rsidP="001267A7">
      <w:p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sz w:val="24"/>
          <w:szCs w:val="24"/>
        </w:rPr>
        <w:t>Policy Records vs. Loss Records</w:t>
      </w:r>
      <w:r w:rsidRPr="00E73D79">
        <w:rPr>
          <w:rFonts w:ascii="Times New Roman" w:eastAsia="Times New Roman" w:hAnsi="Times New Roman" w:cs="Times New Roman"/>
          <w:sz w:val="24"/>
          <w:szCs w:val="24"/>
        </w:rPr>
        <w:t xml:space="preserve">: The report combines data from two separate records provided by the insurers. The policy record provides the details of an individual policy, including the policy type, the effective dates of the policy, the coverage amounts, ZIP code of the insured </w:t>
      </w:r>
      <w:r>
        <w:rPr>
          <w:rFonts w:ascii="Times New Roman" w:eastAsia="Times New Roman" w:hAnsi="Times New Roman" w:cs="Times New Roman"/>
          <w:sz w:val="24"/>
          <w:szCs w:val="24"/>
        </w:rPr>
        <w:t>property</w:t>
      </w:r>
      <w:r w:rsidRPr="00E73D79">
        <w:rPr>
          <w:rFonts w:ascii="Times New Roman" w:eastAsia="Times New Roman" w:hAnsi="Times New Roman" w:cs="Times New Roman"/>
          <w:sz w:val="24"/>
          <w:szCs w:val="24"/>
        </w:rPr>
        <w:t xml:space="preserve">, the amount of premium earned for the policy, and (if available) the PPC and fire risk </w:t>
      </w:r>
      <w:r w:rsidRPr="00E73D79">
        <w:rPr>
          <w:rFonts w:ascii="Times New Roman" w:eastAsia="Times New Roman" w:hAnsi="Times New Roman" w:cs="Times New Roman"/>
          <w:sz w:val="24"/>
          <w:szCs w:val="24"/>
        </w:rPr>
        <w:lastRenderedPageBreak/>
        <w:t xml:space="preserve">classification. This policy record is unique for each policy, and cannot repeat within a calendar year. These policy-specific details are provided </w:t>
      </w:r>
      <w:r>
        <w:rPr>
          <w:rFonts w:ascii="Times New Roman" w:eastAsia="Times New Roman" w:hAnsi="Times New Roman" w:cs="Times New Roman"/>
          <w:sz w:val="24"/>
          <w:szCs w:val="24"/>
        </w:rPr>
        <w:t>for each</w:t>
      </w:r>
      <w:r w:rsidRPr="00E73D79">
        <w:rPr>
          <w:rFonts w:ascii="Times New Roman" w:eastAsia="Times New Roman" w:hAnsi="Times New Roman" w:cs="Times New Roman"/>
          <w:sz w:val="24"/>
          <w:szCs w:val="24"/>
        </w:rPr>
        <w:t xml:space="preserve"> calendar-year</w:t>
      </w:r>
      <w:r>
        <w:rPr>
          <w:rFonts w:ascii="Times New Roman" w:eastAsia="Times New Roman" w:hAnsi="Times New Roman" w:cs="Times New Roman"/>
          <w:sz w:val="24"/>
          <w:szCs w:val="24"/>
        </w:rPr>
        <w:t>.</w:t>
      </w:r>
      <w:r w:rsidRPr="00E73D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Between 2018 and 2020, insurers</w:t>
      </w:r>
      <w:r w:rsidRPr="00E73D79">
        <w:rPr>
          <w:rFonts w:ascii="Times New Roman" w:eastAsia="Times New Roman" w:hAnsi="Times New Roman" w:cs="Times New Roman"/>
          <w:sz w:val="24"/>
          <w:szCs w:val="24"/>
        </w:rPr>
        <w:t xml:space="preserve"> report</w:t>
      </w:r>
      <w:r>
        <w:rPr>
          <w:rFonts w:ascii="Times New Roman" w:eastAsia="Times New Roman" w:hAnsi="Times New Roman" w:cs="Times New Roman"/>
          <w:sz w:val="24"/>
          <w:szCs w:val="24"/>
        </w:rPr>
        <w:t>ed</w:t>
      </w:r>
      <w:r w:rsidRPr="00E73D79">
        <w:rPr>
          <w:rFonts w:ascii="Times New Roman" w:eastAsia="Times New Roman" w:hAnsi="Times New Roman" w:cs="Times New Roman"/>
          <w:sz w:val="24"/>
          <w:szCs w:val="24"/>
        </w:rPr>
        <w:t xml:space="preserve"> the amount of coverage available at the end of calendar yea</w:t>
      </w:r>
      <w:r>
        <w:rPr>
          <w:rFonts w:ascii="Times New Roman" w:eastAsia="Times New Roman" w:hAnsi="Times New Roman" w:cs="Times New Roman"/>
          <w:sz w:val="24"/>
          <w:szCs w:val="24"/>
        </w:rPr>
        <w:t>r, or the last day the policy was in-force, if the policy was cancelled/non-renewed before the end of the calendar year</w:t>
      </w:r>
      <w:r w:rsidRPr="00E73D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From 2021 and on, insurers reported </w:t>
      </w:r>
      <w:r w:rsidRPr="00D512F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amount </w:t>
      </w:r>
      <w:r w:rsidRPr="00D512FF">
        <w:rPr>
          <w:rFonts w:ascii="Times New Roman" w:eastAsia="Times New Roman" w:hAnsi="Times New Roman" w:cs="Times New Roman"/>
          <w:sz w:val="24"/>
          <w:szCs w:val="24"/>
        </w:rPr>
        <w:t xml:space="preserve">of coverage in-force </w:t>
      </w:r>
      <w:r>
        <w:rPr>
          <w:rFonts w:ascii="Times New Roman" w:eastAsia="Times New Roman" w:hAnsi="Times New Roman" w:cs="Times New Roman"/>
          <w:sz w:val="24"/>
          <w:szCs w:val="24"/>
        </w:rPr>
        <w:t>at the beginning of the calendar year</w:t>
      </w:r>
      <w:r w:rsidRPr="00D512FF">
        <w:rPr>
          <w:rFonts w:ascii="Times New Roman" w:eastAsia="Times New Roman" w:hAnsi="Times New Roman" w:cs="Times New Roman"/>
          <w:sz w:val="24"/>
          <w:szCs w:val="24"/>
        </w:rPr>
        <w:t xml:space="preserve">, or the first day the policy was </w:t>
      </w:r>
      <w:r>
        <w:rPr>
          <w:rFonts w:ascii="Times New Roman" w:eastAsia="Times New Roman" w:hAnsi="Times New Roman" w:cs="Times New Roman"/>
          <w:sz w:val="24"/>
          <w:szCs w:val="24"/>
        </w:rPr>
        <w:t>in-force</w:t>
      </w:r>
      <w:r w:rsidRPr="00D512FF">
        <w:rPr>
          <w:rFonts w:ascii="Times New Roman" w:eastAsia="Times New Roman" w:hAnsi="Times New Roman" w:cs="Times New Roman"/>
          <w:sz w:val="24"/>
          <w:szCs w:val="24"/>
        </w:rPr>
        <w:t xml:space="preserve">, if the policy was written after </w:t>
      </w:r>
      <w:r>
        <w:rPr>
          <w:rFonts w:ascii="Times New Roman" w:eastAsia="Times New Roman" w:hAnsi="Times New Roman" w:cs="Times New Roman"/>
          <w:sz w:val="24"/>
          <w:szCs w:val="24"/>
        </w:rPr>
        <w:t>the first day of the</w:t>
      </w:r>
      <w:r w:rsidRPr="00D512FF">
        <w:rPr>
          <w:rFonts w:ascii="Times New Roman" w:eastAsia="Times New Roman" w:hAnsi="Times New Roman" w:cs="Times New Roman"/>
          <w:sz w:val="24"/>
          <w:szCs w:val="24"/>
        </w:rPr>
        <w:t xml:space="preserve"> calendar year.</w:t>
      </w:r>
      <w:r w:rsidRPr="00D512FF">
        <w:rPr>
          <w:rFonts w:ascii="Times New Roman" w:eastAsia="Times New Roman" w:hAnsi="Times New Roman" w:cs="Times New Roman"/>
          <w:sz w:val="24"/>
          <w:szCs w:val="24"/>
        </w:rPr>
        <w:br/>
      </w:r>
      <w:r w:rsidRPr="00D512FF">
        <w:rPr>
          <w:rFonts w:ascii="Times New Roman" w:eastAsia="Times New Roman" w:hAnsi="Times New Roman" w:cs="Times New Roman"/>
          <w:sz w:val="24"/>
          <w:szCs w:val="24"/>
        </w:rPr>
        <w:br/>
      </w:r>
      <w:r>
        <w:rPr>
          <w:rFonts w:ascii="Times New Roman" w:eastAsia="Times New Roman" w:hAnsi="Times New Roman" w:cs="Times New Roman"/>
          <w:sz w:val="24"/>
          <w:szCs w:val="24"/>
        </w:rPr>
        <w:t>Insurers also report a</w:t>
      </w:r>
      <w:r w:rsidRPr="00D512FF">
        <w:rPr>
          <w:rFonts w:ascii="Times New Roman" w:eastAsia="Times New Roman" w:hAnsi="Times New Roman" w:cs="Times New Roman"/>
          <w:sz w:val="24"/>
          <w:szCs w:val="24"/>
        </w:rPr>
        <w:t xml:space="preserve"> separate loss record for each</w:t>
      </w:r>
      <w:r>
        <w:rPr>
          <w:rFonts w:ascii="Times New Roman" w:eastAsia="Times New Roman" w:hAnsi="Times New Roman" w:cs="Times New Roman"/>
          <w:sz w:val="24"/>
          <w:szCs w:val="24"/>
        </w:rPr>
        <w:t xml:space="preserve"> claim reported for a</w:t>
      </w:r>
      <w:r w:rsidRPr="00D512FF">
        <w:rPr>
          <w:rFonts w:ascii="Times New Roman" w:eastAsia="Times New Roman" w:hAnsi="Times New Roman" w:cs="Times New Roman"/>
          <w:sz w:val="24"/>
          <w:szCs w:val="24"/>
        </w:rPr>
        <w:t xml:space="preserve"> policy. These claims are reported on an accident/occurrence-year basis, which means only claims that occurred during the given calendar year </w:t>
      </w:r>
      <w:r>
        <w:rPr>
          <w:rFonts w:ascii="Times New Roman" w:eastAsia="Times New Roman" w:hAnsi="Times New Roman" w:cs="Times New Roman"/>
          <w:sz w:val="24"/>
          <w:szCs w:val="24"/>
        </w:rPr>
        <w:t>are included</w:t>
      </w:r>
      <w:r w:rsidRPr="00D512FF">
        <w:rPr>
          <w:rFonts w:ascii="Times New Roman" w:eastAsia="Times New Roman" w:hAnsi="Times New Roman" w:cs="Times New Roman"/>
          <w:sz w:val="24"/>
          <w:szCs w:val="24"/>
        </w:rPr>
        <w:t>. The loss record is linked to the policy record by a unique policy ID. However, since a policy can report multiple claims during a calendar year, a given policy ID will repeat in the loss records for every claim that occurred during the calendar year, and a policy ID may not occur at all if the policy reported no claims. For each claim, insurers estimate the amount of</w:t>
      </w:r>
      <w:r>
        <w:rPr>
          <w:rFonts w:ascii="Times New Roman" w:eastAsia="Times New Roman" w:hAnsi="Times New Roman" w:cs="Times New Roman"/>
          <w:sz w:val="24"/>
          <w:szCs w:val="24"/>
        </w:rPr>
        <w:t xml:space="preserve"> direct</w:t>
      </w:r>
      <w:r w:rsidRPr="00D512FF">
        <w:rPr>
          <w:rFonts w:ascii="Times New Roman" w:eastAsia="Times New Roman" w:hAnsi="Times New Roman" w:cs="Times New Roman"/>
          <w:sz w:val="24"/>
          <w:szCs w:val="24"/>
        </w:rPr>
        <w:t xml:space="preserve"> loss incurred for the claim based on the </w:t>
      </w:r>
      <w:r>
        <w:rPr>
          <w:rFonts w:ascii="Times New Roman" w:eastAsia="Times New Roman" w:hAnsi="Times New Roman" w:cs="Times New Roman"/>
          <w:sz w:val="24"/>
          <w:szCs w:val="24"/>
        </w:rPr>
        <w:t xml:space="preserve">type of </w:t>
      </w:r>
      <w:r w:rsidRPr="00D512FF">
        <w:rPr>
          <w:rFonts w:ascii="Times New Roman" w:eastAsia="Times New Roman" w:hAnsi="Times New Roman" w:cs="Times New Roman"/>
          <w:sz w:val="24"/>
          <w:szCs w:val="24"/>
        </w:rPr>
        <w:t xml:space="preserve">coverage (Coverage A or C). Incurred losses include the total amount of paid losses and case loss reserves, are gross of subrogation recoveries, and exclude incurred but not reported (IBNR) losses and loss adjustment expenses. All losses were evaluated as of January 31, of the reporting year, which means the losses from the calendar year </w:t>
      </w:r>
      <w:r w:rsidR="002328D9">
        <w:rPr>
          <w:rFonts w:ascii="Times New Roman" w:eastAsia="Times New Roman" w:hAnsi="Times New Roman" w:cs="Times New Roman"/>
          <w:sz w:val="24"/>
          <w:szCs w:val="24"/>
        </w:rPr>
        <w:t>immediately preceding</w:t>
      </w:r>
      <w:r w:rsidRPr="00D512FF">
        <w:rPr>
          <w:rFonts w:ascii="Times New Roman" w:eastAsia="Times New Roman" w:hAnsi="Times New Roman" w:cs="Times New Roman"/>
          <w:sz w:val="24"/>
          <w:szCs w:val="24"/>
        </w:rPr>
        <w:t xml:space="preserve"> the year</w:t>
      </w:r>
      <w:r>
        <w:rPr>
          <w:rFonts w:ascii="Times New Roman" w:eastAsia="Times New Roman" w:hAnsi="Times New Roman" w:cs="Times New Roman"/>
          <w:sz w:val="24"/>
          <w:szCs w:val="24"/>
        </w:rPr>
        <w:t xml:space="preserve"> the </w:t>
      </w:r>
      <w:r w:rsidR="002328D9">
        <w:rPr>
          <w:rFonts w:ascii="Times New Roman" w:eastAsia="Times New Roman" w:hAnsi="Times New Roman" w:cs="Times New Roman"/>
          <w:sz w:val="24"/>
          <w:szCs w:val="24"/>
        </w:rPr>
        <w:t>data was collected</w:t>
      </w:r>
      <w:r w:rsidRPr="00D512FF">
        <w:rPr>
          <w:rFonts w:ascii="Times New Roman" w:eastAsia="Times New Roman" w:hAnsi="Times New Roman" w:cs="Times New Roman"/>
          <w:sz w:val="24"/>
          <w:szCs w:val="24"/>
        </w:rPr>
        <w:t xml:space="preserve"> had less time to develop than the older year losses.</w:t>
      </w:r>
      <w:r>
        <w:rPr>
          <w:rFonts w:ascii="Times New Roman" w:eastAsia="Times New Roman" w:hAnsi="Times New Roman" w:cs="Times New Roman"/>
          <w:sz w:val="24"/>
          <w:szCs w:val="24"/>
        </w:rPr>
        <w:t xml:space="preserve"> However, the data from the most recent calendar year will be updated in the next report to allow those losses time to develop.</w:t>
      </w:r>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For example, in this 2024 report, the losses from calendar year 2023 (evaluated as-of January 31, 2024) will be updated in the 2026 report (evaluated as-of January 31, 2026).</w:t>
      </w:r>
    </w:p>
    <w:p w14:paraId="78CB63FD" w14:textId="77777777" w:rsidR="00E73D79" w:rsidRPr="00E73D79" w:rsidRDefault="00E73D79" w:rsidP="00E73D79">
      <w:pPr>
        <w:spacing w:before="100" w:beforeAutospacing="1" w:after="100" w:afterAutospacing="1" w:line="240" w:lineRule="auto"/>
        <w:outlineLvl w:val="1"/>
        <w:rPr>
          <w:rFonts w:ascii="Times New Roman" w:eastAsia="Times New Roman" w:hAnsi="Times New Roman" w:cs="Times New Roman"/>
          <w:b/>
          <w:bCs/>
          <w:sz w:val="36"/>
          <w:szCs w:val="36"/>
        </w:rPr>
      </w:pPr>
      <w:r w:rsidRPr="00E73D79">
        <w:rPr>
          <w:rFonts w:ascii="Times New Roman" w:eastAsia="Times New Roman" w:hAnsi="Times New Roman" w:cs="Times New Roman"/>
          <w:b/>
          <w:bCs/>
          <w:sz w:val="36"/>
          <w:szCs w:val="36"/>
        </w:rPr>
        <w:t>Format of the Report</w:t>
      </w:r>
    </w:p>
    <w:p w14:paraId="2DC7CDA2" w14:textId="77777777" w:rsidR="00E73D79" w:rsidRPr="00E73D79" w:rsidRDefault="00E73D79" w:rsidP="00284970">
      <w:p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sz w:val="24"/>
          <w:szCs w:val="24"/>
        </w:rPr>
        <w:t>Policy Type</w:t>
      </w:r>
      <w:r w:rsidRPr="00E73D79">
        <w:rPr>
          <w:rFonts w:ascii="Times New Roman" w:eastAsia="Times New Roman" w:hAnsi="Times New Roman" w:cs="Times New Roman"/>
          <w:sz w:val="24"/>
          <w:szCs w:val="24"/>
        </w:rPr>
        <w:t xml:space="preserve">: The report contains data from 6 different policy types. </w:t>
      </w:r>
    </w:p>
    <w:p w14:paraId="652888E8" w14:textId="77777777" w:rsidR="00E73D79" w:rsidRPr="00E73D79" w:rsidRDefault="00E73D79" w:rsidP="002849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color w:val="C0392B"/>
          <w:sz w:val="24"/>
          <w:szCs w:val="24"/>
        </w:rPr>
        <w:t>Homeowners’ (HO)</w:t>
      </w:r>
      <w:r w:rsidRPr="00E73D79">
        <w:rPr>
          <w:rFonts w:ascii="Times New Roman" w:eastAsia="Times New Roman" w:hAnsi="Times New Roman" w:cs="Times New Roman"/>
          <w:sz w:val="24"/>
          <w:szCs w:val="24"/>
        </w:rPr>
        <w:t xml:space="preserve"> type policies, which cover 1-4 dwelling-units in which the owner lives in one or more units (e.g., ISO HO-1, 2, 3, 5, 8, or equivalent).</w:t>
      </w:r>
    </w:p>
    <w:p w14:paraId="5F1909F1" w14:textId="77777777" w:rsidR="00E73D79" w:rsidRPr="00E73D79" w:rsidRDefault="00E73D79" w:rsidP="002849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color w:val="C0392B"/>
          <w:sz w:val="24"/>
          <w:szCs w:val="24"/>
        </w:rPr>
        <w:t>Renter's/Tenant's (RT)</w:t>
      </w:r>
      <w:r w:rsidRPr="00E73D79">
        <w:rPr>
          <w:rFonts w:ascii="Times New Roman" w:eastAsia="Times New Roman" w:hAnsi="Times New Roman" w:cs="Times New Roman"/>
          <w:sz w:val="24"/>
          <w:szCs w:val="24"/>
        </w:rPr>
        <w:t xml:space="preserve"> type policies, which cover the personal property of persons renting or leasing apartments, condominium-units, or dwelling-units (e.g., ISO HO-4 or equivalent).</w:t>
      </w:r>
    </w:p>
    <w:p w14:paraId="5E9F3E56" w14:textId="77777777" w:rsidR="00E73D79" w:rsidRPr="00E73D79" w:rsidRDefault="00E73D79" w:rsidP="002849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color w:val="C0392B"/>
          <w:sz w:val="24"/>
          <w:szCs w:val="24"/>
        </w:rPr>
        <w:t>Condominium Unit Owner (CO)</w:t>
      </w:r>
      <w:r w:rsidRPr="00E73D79">
        <w:rPr>
          <w:rFonts w:ascii="Times New Roman" w:eastAsia="Times New Roman" w:hAnsi="Times New Roman" w:cs="Times New Roman"/>
          <w:sz w:val="24"/>
          <w:szCs w:val="24"/>
        </w:rPr>
        <w:t xml:space="preserve"> type policies, which covers a specific unit within a condominium building or co-op (e.g., ISO HO-6, or equivalent).</w:t>
      </w:r>
    </w:p>
    <w:p w14:paraId="1E2756A4" w14:textId="77777777" w:rsidR="00E73D79" w:rsidRPr="00E73D79" w:rsidRDefault="00E73D79" w:rsidP="002849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color w:val="C0392B"/>
          <w:sz w:val="24"/>
          <w:szCs w:val="24"/>
        </w:rPr>
        <w:t>Mobile Home (MH)</w:t>
      </w:r>
      <w:r w:rsidRPr="00E73D79">
        <w:rPr>
          <w:rFonts w:ascii="Times New Roman" w:eastAsia="Times New Roman" w:hAnsi="Times New Roman" w:cs="Times New Roman"/>
          <w:sz w:val="24"/>
          <w:szCs w:val="24"/>
        </w:rPr>
        <w:t xml:space="preserve"> type policies, which covers the structure and contents of a manufactured or mobile home (e.g., ISO HO-7, or equivalent).</w:t>
      </w:r>
    </w:p>
    <w:p w14:paraId="66338C8B" w14:textId="77777777" w:rsidR="00E73D79" w:rsidRPr="00E73D79" w:rsidRDefault="00E73D79" w:rsidP="002849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color w:val="C0392B"/>
          <w:sz w:val="24"/>
          <w:szCs w:val="24"/>
        </w:rPr>
        <w:t>Dwelling Owner</w:t>
      </w:r>
      <w:r w:rsidR="00843EDA">
        <w:rPr>
          <w:rFonts w:ascii="Times New Roman" w:eastAsia="Times New Roman" w:hAnsi="Times New Roman" w:cs="Times New Roman"/>
          <w:b/>
          <w:bCs/>
          <w:color w:val="C0392B"/>
          <w:sz w:val="24"/>
          <w:szCs w:val="24"/>
        </w:rPr>
        <w:t>-</w:t>
      </w:r>
      <w:r w:rsidRPr="00E73D79">
        <w:rPr>
          <w:rFonts w:ascii="Times New Roman" w:eastAsia="Times New Roman" w:hAnsi="Times New Roman" w:cs="Times New Roman"/>
          <w:b/>
          <w:bCs/>
          <w:color w:val="C0392B"/>
          <w:sz w:val="24"/>
          <w:szCs w:val="24"/>
        </w:rPr>
        <w:t>Occupied (DO)</w:t>
      </w:r>
      <w:r w:rsidRPr="00E73D79">
        <w:rPr>
          <w:rFonts w:ascii="Times New Roman" w:eastAsia="Times New Roman" w:hAnsi="Times New Roman" w:cs="Times New Roman"/>
          <w:sz w:val="24"/>
          <w:szCs w:val="24"/>
        </w:rPr>
        <w:t xml:space="preserve"> type policies, which cover 1-4 dwelling-units in which the owner lives in one or more units (e.g., ISO DP-1, 2, 3 or equivalent).</w:t>
      </w:r>
    </w:p>
    <w:p w14:paraId="62A3AED3" w14:textId="77777777" w:rsidR="00E73D79" w:rsidRPr="00E73D79" w:rsidRDefault="00E73D79" w:rsidP="002849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color w:val="C0392B"/>
          <w:sz w:val="24"/>
          <w:szCs w:val="24"/>
        </w:rPr>
        <w:t>Dwelling Tenant</w:t>
      </w:r>
      <w:r w:rsidR="00843EDA">
        <w:rPr>
          <w:rFonts w:ascii="Times New Roman" w:eastAsia="Times New Roman" w:hAnsi="Times New Roman" w:cs="Times New Roman"/>
          <w:b/>
          <w:bCs/>
          <w:color w:val="C0392B"/>
          <w:sz w:val="24"/>
          <w:szCs w:val="24"/>
        </w:rPr>
        <w:t>-</w:t>
      </w:r>
      <w:r w:rsidRPr="00E73D79">
        <w:rPr>
          <w:rFonts w:ascii="Times New Roman" w:eastAsia="Times New Roman" w:hAnsi="Times New Roman" w:cs="Times New Roman"/>
          <w:b/>
          <w:bCs/>
          <w:color w:val="C0392B"/>
          <w:sz w:val="24"/>
          <w:szCs w:val="24"/>
        </w:rPr>
        <w:t>Occupied (DT)</w:t>
      </w:r>
      <w:r w:rsidRPr="00E73D79">
        <w:rPr>
          <w:rFonts w:ascii="Times New Roman" w:eastAsia="Times New Roman" w:hAnsi="Times New Roman" w:cs="Times New Roman"/>
          <w:sz w:val="24"/>
          <w:szCs w:val="24"/>
        </w:rPr>
        <w:t xml:space="preserve"> type policies, which cover 1-4 dwelling-units that are rented to a tenant for a whole or part of a year (e.g., ISO DP-1, 2, 3 or equivalent).</w:t>
      </w:r>
    </w:p>
    <w:p w14:paraId="3C76B7EF" w14:textId="77777777" w:rsidR="00E73D79" w:rsidRPr="00E73D79" w:rsidRDefault="00E73D79" w:rsidP="00284970">
      <w:p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sz w:val="24"/>
          <w:szCs w:val="24"/>
        </w:rPr>
        <w:lastRenderedPageBreak/>
        <w:t>Coverage</w:t>
      </w:r>
      <w:r w:rsidRPr="00E73D79">
        <w:rPr>
          <w:rFonts w:ascii="Times New Roman" w:eastAsia="Times New Roman" w:hAnsi="Times New Roman" w:cs="Times New Roman"/>
          <w:sz w:val="24"/>
          <w:szCs w:val="24"/>
        </w:rPr>
        <w:t>: The report contains the average coverage amount and the amount of losses for two coverage types.</w:t>
      </w:r>
    </w:p>
    <w:p w14:paraId="317B1927" w14:textId="77777777" w:rsidR="00E73D79" w:rsidRPr="00E73D79" w:rsidRDefault="00E73D79" w:rsidP="0028497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color w:val="C0392B"/>
          <w:sz w:val="24"/>
          <w:szCs w:val="24"/>
        </w:rPr>
        <w:t>Coverage A</w:t>
      </w:r>
      <w:r w:rsidRPr="00E73D79">
        <w:rPr>
          <w:rFonts w:ascii="Times New Roman" w:eastAsia="Times New Roman" w:hAnsi="Times New Roman" w:cs="Times New Roman"/>
          <w:sz w:val="24"/>
          <w:szCs w:val="24"/>
        </w:rPr>
        <w:t xml:space="preserve"> covers damage to the structure of the dwelling-unit, excluding any additional structure coverage (e.g., extended replacement cost coverage or other structures).</w:t>
      </w:r>
    </w:p>
    <w:p w14:paraId="5A80B207" w14:textId="77777777" w:rsidR="00E73D79" w:rsidRPr="00E73D79" w:rsidRDefault="00E73D79" w:rsidP="0028497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color w:val="C0392B"/>
          <w:sz w:val="24"/>
          <w:szCs w:val="24"/>
        </w:rPr>
        <w:t>Coverage C</w:t>
      </w:r>
      <w:r w:rsidRPr="00E73D79">
        <w:rPr>
          <w:rFonts w:ascii="Times New Roman" w:eastAsia="Times New Roman" w:hAnsi="Times New Roman" w:cs="Times New Roman"/>
          <w:sz w:val="24"/>
          <w:szCs w:val="24"/>
        </w:rPr>
        <w:t xml:space="preserve"> covers damage or loss of personal property, excluding any additional contents coverage (e.g., additional coverage for specific valuables such as jewelry or furs).</w:t>
      </w:r>
    </w:p>
    <w:p w14:paraId="163A8D9D" w14:textId="77777777" w:rsidR="002328D9" w:rsidRDefault="00E73D79" w:rsidP="00284970">
      <w:p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sz w:val="24"/>
          <w:szCs w:val="24"/>
        </w:rPr>
        <w:t>PPC Scores and Fire Risk Classification</w:t>
      </w:r>
      <w:r w:rsidR="002328D9">
        <w:rPr>
          <w:rStyle w:val="FootnoteReference"/>
          <w:rFonts w:ascii="Times New Roman" w:eastAsia="Times New Roman" w:hAnsi="Times New Roman" w:cs="Times New Roman"/>
          <w:b/>
          <w:bCs/>
          <w:sz w:val="24"/>
          <w:szCs w:val="24"/>
        </w:rPr>
        <w:footnoteReference w:id="2"/>
      </w:r>
      <w:r w:rsidRPr="00E73D79">
        <w:rPr>
          <w:rFonts w:ascii="Times New Roman" w:eastAsia="Times New Roman" w:hAnsi="Times New Roman" w:cs="Times New Roman"/>
          <w:sz w:val="24"/>
          <w:szCs w:val="24"/>
        </w:rPr>
        <w:t>:</w:t>
      </w:r>
    </w:p>
    <w:p w14:paraId="5F57760F" w14:textId="77777777" w:rsidR="00E73D79" w:rsidRPr="00E73D79" w:rsidRDefault="00E73D79" w:rsidP="0028497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color w:val="C0392B"/>
          <w:sz w:val="24"/>
          <w:szCs w:val="24"/>
        </w:rPr>
        <w:t>PPC scores</w:t>
      </w:r>
      <w:r w:rsidRPr="00E73D79">
        <w:rPr>
          <w:rFonts w:ascii="Times New Roman" w:eastAsia="Times New Roman" w:hAnsi="Times New Roman" w:cs="Times New Roman"/>
          <w:sz w:val="24"/>
          <w:szCs w:val="24"/>
        </w:rPr>
        <w:t xml:space="preserve"> refers to the </w:t>
      </w:r>
      <w:r w:rsidR="0084247E">
        <w:rPr>
          <w:rFonts w:ascii="Times New Roman" w:eastAsia="Times New Roman" w:hAnsi="Times New Roman" w:cs="Times New Roman"/>
          <w:sz w:val="24"/>
          <w:szCs w:val="24"/>
        </w:rPr>
        <w:t xml:space="preserve">ISO </w:t>
      </w:r>
      <w:r w:rsidRPr="00E73D79">
        <w:rPr>
          <w:rFonts w:ascii="Times New Roman" w:eastAsia="Times New Roman" w:hAnsi="Times New Roman" w:cs="Times New Roman"/>
          <w:sz w:val="24"/>
          <w:szCs w:val="24"/>
        </w:rPr>
        <w:t>Public Protection Classification program, a Verisk product, that scores an address between 1 (best) and 10 (worst). The scores reflect municipal fire protection efforts available to that property (e.g., distance to primary responding fire station).</w:t>
      </w:r>
    </w:p>
    <w:p w14:paraId="3958F5DE" w14:textId="77777777" w:rsidR="00E73D79" w:rsidRPr="002328D9" w:rsidRDefault="00E73D79" w:rsidP="002328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color w:val="C0392B"/>
          <w:sz w:val="24"/>
          <w:szCs w:val="24"/>
        </w:rPr>
        <w:t>Fire Risk Classification</w:t>
      </w:r>
      <w:r w:rsidRPr="00E73D79">
        <w:rPr>
          <w:rFonts w:ascii="Times New Roman" w:eastAsia="Times New Roman" w:hAnsi="Times New Roman" w:cs="Times New Roman"/>
          <w:sz w:val="24"/>
          <w:szCs w:val="24"/>
        </w:rPr>
        <w:t xml:space="preserve"> refer to the output of a commercial tool that models a property’s exposure to fire risk, typically measured by environmental/community level factors around a property such as fuel, slope, and road access. The output may be a numerical score within a range, or a category (e.g., negligible, low, moderate, high, very high</w:t>
      </w:r>
      <w:r w:rsidR="00FA523F">
        <w:rPr>
          <w:rFonts w:ascii="Times New Roman" w:eastAsia="Times New Roman" w:hAnsi="Times New Roman" w:cs="Times New Roman"/>
          <w:sz w:val="24"/>
          <w:szCs w:val="24"/>
        </w:rPr>
        <w:t>/extreme</w:t>
      </w:r>
      <w:r w:rsidRPr="00E73D79">
        <w:rPr>
          <w:rFonts w:ascii="Times New Roman" w:eastAsia="Times New Roman" w:hAnsi="Times New Roman" w:cs="Times New Roman"/>
          <w:sz w:val="24"/>
          <w:szCs w:val="24"/>
        </w:rPr>
        <w:t>).</w:t>
      </w:r>
      <w:r w:rsidR="002328D9">
        <w:rPr>
          <w:rFonts w:ascii="Times New Roman" w:eastAsia="Times New Roman" w:hAnsi="Times New Roman" w:cs="Times New Roman"/>
          <w:sz w:val="24"/>
          <w:szCs w:val="24"/>
        </w:rPr>
        <w:t xml:space="preserve"> </w:t>
      </w:r>
      <w:r w:rsidR="00FA523F" w:rsidRPr="002328D9">
        <w:rPr>
          <w:rFonts w:ascii="Times New Roman" w:eastAsia="Times New Roman" w:hAnsi="Times New Roman" w:cs="Times New Roman"/>
          <w:sz w:val="24"/>
          <w:szCs w:val="24"/>
        </w:rPr>
        <w:t>To calculate an "average" fire risk score in each ZIP code, scores were converted to categories, and we assigned each category a value between 0 to 4. Negligible risk was assigned a score of 0, low a score of 1, moderate a score of 2, high a score of 3, and very high/extreme a score of 4. Thus, the closer the average fire risk in a ZIP code is to 4, the more extreme the fire risk.</w:t>
      </w:r>
    </w:p>
    <w:p w14:paraId="24DD0604" w14:textId="77777777" w:rsidR="00284970" w:rsidRPr="00284970" w:rsidRDefault="00284970" w:rsidP="00284970">
      <w:pPr>
        <w:spacing w:before="100" w:beforeAutospacing="1" w:after="100" w:afterAutospacing="1" w:line="240" w:lineRule="auto"/>
        <w:rPr>
          <w:rFonts w:ascii="Times New Roman" w:eastAsia="Times New Roman" w:hAnsi="Times New Roman" w:cs="Times New Roman"/>
          <w:sz w:val="24"/>
          <w:szCs w:val="24"/>
        </w:rPr>
      </w:pPr>
      <w:r w:rsidRPr="00284970">
        <w:rPr>
          <w:rFonts w:ascii="Times New Roman" w:eastAsia="Times New Roman" w:hAnsi="Times New Roman" w:cs="Times New Roman"/>
          <w:b/>
          <w:sz w:val="24"/>
          <w:szCs w:val="24"/>
        </w:rPr>
        <w:t>Loss Data</w:t>
      </w:r>
      <w:r w:rsidRPr="00284970">
        <w:rPr>
          <w:rFonts w:ascii="Times New Roman" w:eastAsia="Times New Roman" w:hAnsi="Times New Roman" w:cs="Times New Roman"/>
          <w:sz w:val="24"/>
          <w:szCs w:val="24"/>
        </w:rPr>
        <w:t>: The loss data is broken down into 8 categories, based on the combination of 3 dichotomous variables: Coverage Type (Coverage A or Coverage C), Loss Type (Fire or Smoke), and Cat Loss (Catastrophic or Non-Catastrophic Event). For each category, the amount of incurred loss and the number of claims is provided.</w:t>
      </w:r>
    </w:p>
    <w:p w14:paraId="4E3C7C0D" w14:textId="77777777" w:rsidR="00E73D79" w:rsidRPr="00D512FF" w:rsidRDefault="00E73D79" w:rsidP="00284970">
      <w:pPr>
        <w:spacing w:before="100" w:beforeAutospacing="1" w:after="100" w:afterAutospacing="1" w:line="240" w:lineRule="auto"/>
        <w:rPr>
          <w:rFonts w:ascii="Times New Roman" w:eastAsia="Times New Roman" w:hAnsi="Times New Roman" w:cs="Times New Roman"/>
          <w:sz w:val="24"/>
          <w:szCs w:val="24"/>
        </w:rPr>
      </w:pPr>
      <w:r w:rsidRPr="00E73D79">
        <w:rPr>
          <w:rFonts w:ascii="Times New Roman" w:eastAsia="Times New Roman" w:hAnsi="Times New Roman" w:cs="Times New Roman"/>
          <w:b/>
          <w:bCs/>
          <w:sz w:val="24"/>
          <w:szCs w:val="24"/>
        </w:rPr>
        <w:t>CAT and Non-CAT</w:t>
      </w:r>
      <w:r w:rsidRPr="00E73D79">
        <w:rPr>
          <w:rFonts w:ascii="Times New Roman" w:eastAsia="Times New Roman" w:hAnsi="Times New Roman" w:cs="Times New Roman"/>
          <w:sz w:val="24"/>
          <w:szCs w:val="24"/>
        </w:rPr>
        <w:t xml:space="preserve">: </w:t>
      </w:r>
      <w:r w:rsidR="0084247E" w:rsidRPr="0084247E">
        <w:rPr>
          <w:rFonts w:ascii="Times New Roman" w:eastAsia="Times New Roman" w:hAnsi="Times New Roman" w:cs="Times New Roman"/>
          <w:sz w:val="24"/>
          <w:szCs w:val="24"/>
        </w:rPr>
        <w:t xml:space="preserve">In general, a catastrophic disaster </w:t>
      </w:r>
      <w:r w:rsidR="0084247E" w:rsidRPr="00E73D79">
        <w:rPr>
          <w:rFonts w:ascii="Times New Roman" w:eastAsia="Times New Roman" w:hAnsi="Times New Roman" w:cs="Times New Roman"/>
          <w:sz w:val="24"/>
          <w:szCs w:val="24"/>
        </w:rPr>
        <w:t>(</w:t>
      </w:r>
      <w:r w:rsidR="0084247E" w:rsidRPr="00E73D79">
        <w:rPr>
          <w:rFonts w:ascii="Times New Roman" w:eastAsia="Times New Roman" w:hAnsi="Times New Roman" w:cs="Times New Roman"/>
          <w:b/>
          <w:bCs/>
          <w:color w:val="C0392B"/>
          <w:sz w:val="24"/>
          <w:szCs w:val="24"/>
        </w:rPr>
        <w:t>CAT</w:t>
      </w:r>
      <w:r w:rsidR="0084247E" w:rsidRPr="00E73D79">
        <w:rPr>
          <w:rFonts w:ascii="Times New Roman" w:eastAsia="Times New Roman" w:hAnsi="Times New Roman" w:cs="Times New Roman"/>
          <w:sz w:val="24"/>
          <w:szCs w:val="24"/>
        </w:rPr>
        <w:t>)</w:t>
      </w:r>
      <w:r w:rsidR="0084247E">
        <w:rPr>
          <w:rFonts w:ascii="Times New Roman" w:eastAsia="Times New Roman" w:hAnsi="Times New Roman" w:cs="Times New Roman"/>
          <w:sz w:val="24"/>
          <w:szCs w:val="24"/>
        </w:rPr>
        <w:t xml:space="preserve"> </w:t>
      </w:r>
      <w:r w:rsidR="0084247E" w:rsidRPr="0084247E">
        <w:rPr>
          <w:rFonts w:ascii="Times New Roman" w:eastAsia="Times New Roman" w:hAnsi="Times New Roman" w:cs="Times New Roman"/>
          <w:sz w:val="24"/>
          <w:szCs w:val="24"/>
        </w:rPr>
        <w:t>is defined as an “event whose losses are very large and very infrequent such that their inclusion in a normal rate level review exercise would severely distort the estimation of future expected losses.”</w:t>
      </w:r>
      <w:r w:rsidR="00843EDA">
        <w:rPr>
          <w:rStyle w:val="FootnoteReference"/>
          <w:rFonts w:ascii="Times New Roman" w:eastAsia="Times New Roman" w:hAnsi="Times New Roman" w:cs="Times New Roman"/>
          <w:sz w:val="24"/>
          <w:szCs w:val="24"/>
        </w:rPr>
        <w:footnoteReference w:id="3"/>
      </w:r>
      <w:r w:rsidR="0084247E" w:rsidRPr="0084247E">
        <w:rPr>
          <w:rFonts w:ascii="Times New Roman" w:eastAsia="Times New Roman" w:hAnsi="Times New Roman" w:cs="Times New Roman"/>
          <w:sz w:val="24"/>
          <w:szCs w:val="24"/>
        </w:rPr>
        <w:t xml:space="preserve"> When classifying claims</w:t>
      </w:r>
      <w:r w:rsidR="00843EDA">
        <w:rPr>
          <w:rFonts w:ascii="Times New Roman" w:eastAsia="Times New Roman" w:hAnsi="Times New Roman" w:cs="Times New Roman"/>
          <w:sz w:val="24"/>
          <w:szCs w:val="24"/>
        </w:rPr>
        <w:t xml:space="preserve"> as catastrophic</w:t>
      </w:r>
      <w:r w:rsidR="0084247E" w:rsidRPr="0084247E">
        <w:rPr>
          <w:rFonts w:ascii="Times New Roman" w:eastAsia="Times New Roman" w:hAnsi="Times New Roman" w:cs="Times New Roman"/>
          <w:sz w:val="24"/>
          <w:szCs w:val="24"/>
        </w:rPr>
        <w:t xml:space="preserve">, </w:t>
      </w:r>
      <w:r w:rsidR="0084247E">
        <w:rPr>
          <w:rFonts w:ascii="Times New Roman" w:eastAsia="Times New Roman" w:hAnsi="Times New Roman" w:cs="Times New Roman"/>
          <w:sz w:val="24"/>
          <w:szCs w:val="24"/>
        </w:rPr>
        <w:t xml:space="preserve">insurers are asked to </w:t>
      </w:r>
      <w:r w:rsidR="0084247E" w:rsidRPr="0084247E">
        <w:rPr>
          <w:rFonts w:ascii="Times New Roman" w:eastAsia="Times New Roman" w:hAnsi="Times New Roman" w:cs="Times New Roman"/>
          <w:sz w:val="24"/>
          <w:szCs w:val="24"/>
        </w:rPr>
        <w:t>use</w:t>
      </w:r>
      <w:r w:rsidR="00843EDA">
        <w:rPr>
          <w:rFonts w:ascii="Times New Roman" w:eastAsia="Times New Roman" w:hAnsi="Times New Roman" w:cs="Times New Roman"/>
          <w:sz w:val="24"/>
          <w:szCs w:val="24"/>
        </w:rPr>
        <w:t xml:space="preserve"> the definition from</w:t>
      </w:r>
      <w:r w:rsidR="0084247E" w:rsidRPr="0084247E">
        <w:rPr>
          <w:rFonts w:ascii="Times New Roman" w:eastAsia="Times New Roman" w:hAnsi="Times New Roman" w:cs="Times New Roman"/>
          <w:sz w:val="24"/>
          <w:szCs w:val="24"/>
        </w:rPr>
        <w:t xml:space="preserve"> </w:t>
      </w:r>
      <w:r w:rsidR="00843EDA">
        <w:rPr>
          <w:rFonts w:ascii="Times New Roman" w:eastAsia="Times New Roman" w:hAnsi="Times New Roman" w:cs="Times New Roman"/>
          <w:sz w:val="24"/>
          <w:szCs w:val="24"/>
        </w:rPr>
        <w:t>Verisk’s</w:t>
      </w:r>
      <w:r w:rsidR="0084247E" w:rsidRPr="0084247E">
        <w:rPr>
          <w:rFonts w:ascii="Times New Roman" w:eastAsia="Times New Roman" w:hAnsi="Times New Roman" w:cs="Times New Roman"/>
          <w:sz w:val="24"/>
          <w:szCs w:val="24"/>
        </w:rPr>
        <w:t xml:space="preserve"> Property Claim Services </w:t>
      </w:r>
      <w:r w:rsidR="0084247E" w:rsidRPr="00843EDA">
        <w:rPr>
          <w:rFonts w:ascii="Times New Roman" w:eastAsia="Times New Roman" w:hAnsi="Times New Roman" w:cs="Times New Roman"/>
          <w:sz w:val="24"/>
          <w:szCs w:val="24"/>
        </w:rPr>
        <w:t>as “</w:t>
      </w:r>
      <w:r w:rsidR="00843EDA" w:rsidRPr="00843EDA">
        <w:rPr>
          <w:rFonts w:ascii="Times New Roman" w:eastAsia="Times New Roman" w:hAnsi="Times New Roman" w:cs="Times New Roman"/>
          <w:sz w:val="24"/>
          <w:szCs w:val="24"/>
        </w:rPr>
        <w:t xml:space="preserve">an event </w:t>
      </w:r>
      <w:r w:rsidR="00D512FF">
        <w:rPr>
          <w:rFonts w:ascii="Times New Roman" w:eastAsia="Times New Roman" w:hAnsi="Times New Roman" w:cs="Times New Roman"/>
          <w:sz w:val="24"/>
          <w:szCs w:val="24"/>
        </w:rPr>
        <w:t xml:space="preserve">[that] </w:t>
      </w:r>
      <w:r w:rsidR="00843EDA" w:rsidRPr="00843EDA">
        <w:rPr>
          <w:rFonts w:ascii="Times New Roman" w:eastAsia="Times New Roman" w:hAnsi="Times New Roman" w:cs="Times New Roman"/>
          <w:sz w:val="24"/>
          <w:szCs w:val="24"/>
        </w:rPr>
        <w:t>is likely to cause more than $25 million in damage in</w:t>
      </w:r>
      <w:r w:rsidR="00D512FF">
        <w:rPr>
          <w:rFonts w:ascii="Times New Roman" w:eastAsia="Times New Roman" w:hAnsi="Times New Roman" w:cs="Times New Roman"/>
          <w:sz w:val="24"/>
          <w:szCs w:val="24"/>
        </w:rPr>
        <w:t xml:space="preserve"> </w:t>
      </w:r>
      <w:r w:rsidR="00843EDA" w:rsidRPr="00D512FF">
        <w:rPr>
          <w:rFonts w:ascii="Times New Roman" w:eastAsia="Times New Roman" w:hAnsi="Times New Roman" w:cs="Times New Roman"/>
          <w:sz w:val="24"/>
          <w:szCs w:val="24"/>
        </w:rPr>
        <w:t>the United States and affect a significant number of policyholders and</w:t>
      </w:r>
      <w:r w:rsidR="00D512FF">
        <w:rPr>
          <w:rFonts w:ascii="Times New Roman" w:eastAsia="Times New Roman" w:hAnsi="Times New Roman" w:cs="Times New Roman"/>
          <w:sz w:val="24"/>
          <w:szCs w:val="24"/>
        </w:rPr>
        <w:t xml:space="preserve"> </w:t>
      </w:r>
      <w:r w:rsidR="00843EDA" w:rsidRPr="00D512FF">
        <w:rPr>
          <w:rFonts w:ascii="Times New Roman" w:eastAsia="Times New Roman" w:hAnsi="Times New Roman" w:cs="Times New Roman"/>
          <w:sz w:val="24"/>
          <w:szCs w:val="24"/>
        </w:rPr>
        <w:t>insurers</w:t>
      </w:r>
      <w:r w:rsidR="0084247E" w:rsidRPr="00D512FF">
        <w:rPr>
          <w:rFonts w:ascii="Times New Roman" w:eastAsia="Times New Roman" w:hAnsi="Times New Roman" w:cs="Times New Roman"/>
          <w:sz w:val="24"/>
          <w:szCs w:val="24"/>
        </w:rPr>
        <w:t>.”</w:t>
      </w:r>
      <w:r w:rsidR="00D512FF">
        <w:rPr>
          <w:rStyle w:val="FootnoteReference"/>
          <w:rFonts w:ascii="Times New Roman" w:eastAsia="Times New Roman" w:hAnsi="Times New Roman" w:cs="Times New Roman"/>
          <w:sz w:val="24"/>
          <w:szCs w:val="24"/>
        </w:rPr>
        <w:footnoteReference w:id="4"/>
      </w:r>
      <w:r w:rsidR="0084247E" w:rsidRPr="00D512FF">
        <w:rPr>
          <w:rFonts w:ascii="Times New Roman" w:eastAsia="Times New Roman" w:hAnsi="Times New Roman" w:cs="Times New Roman"/>
          <w:sz w:val="24"/>
          <w:szCs w:val="24"/>
        </w:rPr>
        <w:t xml:space="preserve"> Otherwise, </w:t>
      </w:r>
      <w:r w:rsidR="00843EDA" w:rsidRPr="00D512FF">
        <w:rPr>
          <w:rFonts w:ascii="Times New Roman" w:eastAsia="Times New Roman" w:hAnsi="Times New Roman" w:cs="Times New Roman"/>
          <w:sz w:val="24"/>
          <w:szCs w:val="24"/>
        </w:rPr>
        <w:t>insurers categorize</w:t>
      </w:r>
      <w:r w:rsidR="0084247E" w:rsidRPr="00D512FF">
        <w:rPr>
          <w:rFonts w:ascii="Times New Roman" w:eastAsia="Times New Roman" w:hAnsi="Times New Roman" w:cs="Times New Roman"/>
          <w:sz w:val="24"/>
          <w:szCs w:val="24"/>
        </w:rPr>
        <w:t xml:space="preserve"> </w:t>
      </w:r>
      <w:r w:rsidR="00843EDA" w:rsidRPr="00D512FF">
        <w:rPr>
          <w:rFonts w:ascii="Times New Roman" w:eastAsia="Times New Roman" w:hAnsi="Times New Roman" w:cs="Times New Roman"/>
          <w:sz w:val="24"/>
          <w:szCs w:val="24"/>
        </w:rPr>
        <w:t>claims using the</w:t>
      </w:r>
      <w:r w:rsidR="00D512FF">
        <w:rPr>
          <w:rFonts w:ascii="Times New Roman" w:eastAsia="Times New Roman" w:hAnsi="Times New Roman" w:cs="Times New Roman"/>
          <w:sz w:val="24"/>
          <w:szCs w:val="24"/>
        </w:rPr>
        <w:t>ir</w:t>
      </w:r>
      <w:r w:rsidR="0084247E" w:rsidRPr="00D512FF">
        <w:rPr>
          <w:rFonts w:ascii="Times New Roman" w:eastAsia="Times New Roman" w:hAnsi="Times New Roman" w:cs="Times New Roman"/>
          <w:sz w:val="24"/>
          <w:szCs w:val="24"/>
        </w:rPr>
        <w:t xml:space="preserve"> internal catastrophe load classification used in ratemaking (10 CCR§ 2644.5). </w:t>
      </w:r>
      <w:r w:rsidR="00843EDA" w:rsidRPr="00D512FF">
        <w:rPr>
          <w:rFonts w:ascii="Times New Roman" w:eastAsia="Times New Roman" w:hAnsi="Times New Roman" w:cs="Times New Roman"/>
          <w:sz w:val="24"/>
          <w:szCs w:val="24"/>
        </w:rPr>
        <w:t xml:space="preserve">However, </w:t>
      </w:r>
      <w:r w:rsidR="00D512FF">
        <w:rPr>
          <w:rFonts w:ascii="Times New Roman" w:eastAsia="Times New Roman" w:hAnsi="Times New Roman" w:cs="Times New Roman"/>
          <w:sz w:val="24"/>
          <w:szCs w:val="24"/>
        </w:rPr>
        <w:t xml:space="preserve">starting with data from 2021, </w:t>
      </w:r>
      <w:r w:rsidR="00843EDA" w:rsidRPr="00D512FF">
        <w:rPr>
          <w:rFonts w:ascii="Times New Roman" w:eastAsia="Times New Roman" w:hAnsi="Times New Roman" w:cs="Times New Roman"/>
          <w:sz w:val="24"/>
          <w:szCs w:val="24"/>
        </w:rPr>
        <w:t>re</w:t>
      </w:r>
      <w:r w:rsidR="0084247E" w:rsidRPr="00D512FF">
        <w:rPr>
          <w:rFonts w:ascii="Times New Roman" w:eastAsia="Times New Roman" w:hAnsi="Times New Roman" w:cs="Times New Roman"/>
          <w:sz w:val="24"/>
          <w:szCs w:val="24"/>
        </w:rPr>
        <w:t xml:space="preserve">gardless of definition used, any claims arising from or related to any and all fires for which a state of emergency has been declared by </w:t>
      </w:r>
      <w:r w:rsidR="0084247E" w:rsidRPr="00D512FF">
        <w:rPr>
          <w:rFonts w:ascii="Times New Roman" w:eastAsia="Times New Roman" w:hAnsi="Times New Roman" w:cs="Times New Roman"/>
          <w:sz w:val="24"/>
          <w:szCs w:val="24"/>
        </w:rPr>
        <w:lastRenderedPageBreak/>
        <w:t xml:space="preserve">the Governor of California must be classified as catastrophic. </w:t>
      </w:r>
      <w:r w:rsidRPr="00D512FF">
        <w:rPr>
          <w:rFonts w:ascii="Times New Roman" w:eastAsia="Times New Roman" w:hAnsi="Times New Roman" w:cs="Times New Roman"/>
          <w:sz w:val="24"/>
          <w:szCs w:val="24"/>
        </w:rPr>
        <w:t xml:space="preserve">The remaining losses not designated as CAT losses </w:t>
      </w:r>
      <w:r w:rsidR="00843EDA" w:rsidRPr="00D512FF">
        <w:rPr>
          <w:rFonts w:ascii="Times New Roman" w:eastAsia="Times New Roman" w:hAnsi="Times New Roman" w:cs="Times New Roman"/>
          <w:sz w:val="24"/>
          <w:szCs w:val="24"/>
        </w:rPr>
        <w:t xml:space="preserve">are </w:t>
      </w:r>
      <w:r w:rsidRPr="00D512FF">
        <w:rPr>
          <w:rFonts w:ascii="Times New Roman" w:eastAsia="Times New Roman" w:hAnsi="Times New Roman" w:cs="Times New Roman"/>
          <w:sz w:val="24"/>
          <w:szCs w:val="24"/>
        </w:rPr>
        <w:t xml:space="preserve">coded as </w:t>
      </w:r>
      <w:r w:rsidR="0084247E" w:rsidRPr="00D512FF">
        <w:rPr>
          <w:rFonts w:ascii="Times New Roman" w:eastAsia="Times New Roman" w:hAnsi="Times New Roman" w:cs="Times New Roman"/>
          <w:sz w:val="24"/>
          <w:szCs w:val="24"/>
        </w:rPr>
        <w:t>n</w:t>
      </w:r>
      <w:r w:rsidRPr="00D512FF">
        <w:rPr>
          <w:rFonts w:ascii="Times New Roman" w:eastAsia="Times New Roman" w:hAnsi="Times New Roman" w:cs="Times New Roman"/>
          <w:sz w:val="24"/>
          <w:szCs w:val="24"/>
        </w:rPr>
        <w:t>on-</w:t>
      </w:r>
      <w:r w:rsidR="0084247E" w:rsidRPr="00D512FF">
        <w:rPr>
          <w:rFonts w:ascii="Times New Roman" w:eastAsia="Times New Roman" w:hAnsi="Times New Roman" w:cs="Times New Roman"/>
          <w:sz w:val="24"/>
          <w:szCs w:val="24"/>
        </w:rPr>
        <w:t>c</w:t>
      </w:r>
      <w:r w:rsidRPr="00D512FF">
        <w:rPr>
          <w:rFonts w:ascii="Times New Roman" w:eastAsia="Times New Roman" w:hAnsi="Times New Roman" w:cs="Times New Roman"/>
          <w:sz w:val="24"/>
          <w:szCs w:val="24"/>
        </w:rPr>
        <w:t>atastroph</w:t>
      </w:r>
      <w:r w:rsidR="0084247E" w:rsidRPr="00D512FF">
        <w:rPr>
          <w:rFonts w:ascii="Times New Roman" w:eastAsia="Times New Roman" w:hAnsi="Times New Roman" w:cs="Times New Roman"/>
          <w:sz w:val="24"/>
          <w:szCs w:val="24"/>
        </w:rPr>
        <w:t>ic</w:t>
      </w:r>
      <w:r w:rsidRPr="00D512FF">
        <w:rPr>
          <w:rFonts w:ascii="Times New Roman" w:eastAsia="Times New Roman" w:hAnsi="Times New Roman" w:cs="Times New Roman"/>
          <w:sz w:val="24"/>
          <w:szCs w:val="24"/>
        </w:rPr>
        <w:t xml:space="preserve"> (</w:t>
      </w:r>
      <w:r w:rsidRPr="00D512FF">
        <w:rPr>
          <w:rFonts w:ascii="Times New Roman" w:eastAsia="Times New Roman" w:hAnsi="Times New Roman" w:cs="Times New Roman"/>
          <w:b/>
          <w:bCs/>
          <w:color w:val="C0392B"/>
          <w:sz w:val="24"/>
          <w:szCs w:val="24"/>
        </w:rPr>
        <w:t>Non-CAT</w:t>
      </w:r>
      <w:r w:rsidRPr="00D512FF">
        <w:rPr>
          <w:rFonts w:ascii="Times New Roman" w:eastAsia="Times New Roman" w:hAnsi="Times New Roman" w:cs="Times New Roman"/>
          <w:sz w:val="24"/>
          <w:szCs w:val="24"/>
        </w:rPr>
        <w:t>) losses.</w:t>
      </w:r>
    </w:p>
    <w:p w14:paraId="016FEC32" w14:textId="77777777" w:rsidR="0084247E" w:rsidRPr="0084247E" w:rsidRDefault="0084247E" w:rsidP="0084247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Layout </w:t>
      </w:r>
      <w:r w:rsidRPr="0084247E">
        <w:rPr>
          <w:rFonts w:ascii="Times New Roman" w:eastAsia="Times New Roman" w:hAnsi="Times New Roman" w:cs="Times New Roman"/>
          <w:b/>
          <w:bCs/>
          <w:sz w:val="36"/>
          <w:szCs w:val="36"/>
        </w:rPr>
        <w:t>of the Report</w:t>
      </w:r>
    </w:p>
    <w:p w14:paraId="3DC4FC1A" w14:textId="77777777" w:rsidR="00A35D45" w:rsidRDefault="000F5C18" w:rsidP="008424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 is laid out using a “pivot table”, which allows users to dynamically group </w:t>
      </w:r>
      <w:r w:rsidR="00DA2F5A">
        <w:rPr>
          <w:rFonts w:ascii="Times New Roman" w:eastAsia="Times New Roman" w:hAnsi="Times New Roman" w:cs="Times New Roman"/>
          <w:sz w:val="24"/>
          <w:szCs w:val="24"/>
        </w:rPr>
        <w:t xml:space="preserve">and </w:t>
      </w:r>
      <w:r w:rsidR="001C34BE">
        <w:rPr>
          <w:rFonts w:ascii="Times New Roman" w:eastAsia="Times New Roman" w:hAnsi="Times New Roman" w:cs="Times New Roman"/>
          <w:sz w:val="24"/>
          <w:szCs w:val="24"/>
        </w:rPr>
        <w:t>view</w:t>
      </w:r>
      <w:r w:rsidR="00DA2F5A">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data based on different fields in the report. </w:t>
      </w:r>
      <w:r w:rsidR="00391598">
        <w:rPr>
          <w:rFonts w:ascii="Times New Roman" w:eastAsia="Times New Roman" w:hAnsi="Times New Roman" w:cs="Times New Roman"/>
          <w:sz w:val="24"/>
          <w:szCs w:val="24"/>
        </w:rPr>
        <w:t xml:space="preserve">Within the table, the </w:t>
      </w:r>
      <w:r w:rsidR="00BF4686">
        <w:rPr>
          <w:rFonts w:ascii="Times New Roman" w:eastAsia="Times New Roman" w:hAnsi="Times New Roman" w:cs="Times New Roman"/>
          <w:sz w:val="24"/>
          <w:szCs w:val="24"/>
        </w:rPr>
        <w:t>data is organized in a hierarchy</w:t>
      </w:r>
      <w:r w:rsidR="00391598">
        <w:rPr>
          <w:rFonts w:ascii="Times New Roman" w:eastAsia="Times New Roman" w:hAnsi="Times New Roman" w:cs="Times New Roman"/>
          <w:sz w:val="24"/>
          <w:szCs w:val="24"/>
        </w:rPr>
        <w:t xml:space="preserve">, starting with the calendar year, then policy type, county, and finally ZIP code. At each hierarchical level, a subtotal is calculated for each category in that level, and at the bottom of the report is a grand total </w:t>
      </w:r>
      <w:r w:rsidR="00BF4686">
        <w:rPr>
          <w:rFonts w:ascii="Times New Roman" w:eastAsia="Times New Roman" w:hAnsi="Times New Roman" w:cs="Times New Roman"/>
          <w:sz w:val="24"/>
          <w:szCs w:val="24"/>
        </w:rPr>
        <w:t>for</w:t>
      </w:r>
      <w:r w:rsidR="00391598">
        <w:rPr>
          <w:rFonts w:ascii="Times New Roman" w:eastAsia="Times New Roman" w:hAnsi="Times New Roman" w:cs="Times New Roman"/>
          <w:sz w:val="24"/>
          <w:szCs w:val="24"/>
        </w:rPr>
        <w:t xml:space="preserve"> the entire table. </w:t>
      </w:r>
      <w:r w:rsidR="00391598" w:rsidRPr="00391598">
        <w:rPr>
          <w:rFonts w:ascii="Times New Roman" w:eastAsia="Times New Roman" w:hAnsi="Times New Roman" w:cs="Times New Roman"/>
          <w:sz w:val="24"/>
          <w:szCs w:val="24"/>
        </w:rPr>
        <w:t>The plus</w:t>
      </w:r>
      <w:r w:rsidR="00391598">
        <w:rPr>
          <w:rFonts w:ascii="Times New Roman" w:eastAsia="Times New Roman" w:hAnsi="Times New Roman" w:cs="Times New Roman"/>
          <w:sz w:val="24"/>
          <w:szCs w:val="24"/>
        </w:rPr>
        <w:t xml:space="preserve"> (“+”)</w:t>
      </w:r>
      <w:r w:rsidR="00391598" w:rsidRPr="00391598">
        <w:rPr>
          <w:rFonts w:ascii="Times New Roman" w:eastAsia="Times New Roman" w:hAnsi="Times New Roman" w:cs="Times New Roman"/>
          <w:sz w:val="24"/>
          <w:szCs w:val="24"/>
        </w:rPr>
        <w:t xml:space="preserve"> and minus</w:t>
      </w:r>
      <w:r w:rsidR="00391598">
        <w:rPr>
          <w:rFonts w:ascii="Times New Roman" w:eastAsia="Times New Roman" w:hAnsi="Times New Roman" w:cs="Times New Roman"/>
          <w:sz w:val="24"/>
          <w:szCs w:val="24"/>
        </w:rPr>
        <w:t xml:space="preserve"> (“–”)</w:t>
      </w:r>
      <w:r w:rsidR="00391598" w:rsidRPr="00391598">
        <w:rPr>
          <w:rFonts w:ascii="Times New Roman" w:eastAsia="Times New Roman" w:hAnsi="Times New Roman" w:cs="Times New Roman"/>
          <w:sz w:val="24"/>
          <w:szCs w:val="24"/>
        </w:rPr>
        <w:t xml:space="preserve"> buttons </w:t>
      </w:r>
      <w:r w:rsidR="00BF4686">
        <w:rPr>
          <w:rFonts w:ascii="Times New Roman" w:eastAsia="Times New Roman" w:hAnsi="Times New Roman" w:cs="Times New Roman"/>
          <w:sz w:val="24"/>
          <w:szCs w:val="24"/>
        </w:rPr>
        <w:t xml:space="preserve">are </w:t>
      </w:r>
      <w:r w:rsidR="00391598" w:rsidRPr="00391598">
        <w:rPr>
          <w:rFonts w:ascii="Times New Roman" w:eastAsia="Times New Roman" w:hAnsi="Times New Roman" w:cs="Times New Roman"/>
          <w:sz w:val="24"/>
          <w:szCs w:val="24"/>
        </w:rPr>
        <w:t>used to expand and collapse the display of detail data within the categories</w:t>
      </w:r>
      <w:r w:rsidR="00BF4686">
        <w:rPr>
          <w:rFonts w:ascii="Times New Roman" w:eastAsia="Times New Roman" w:hAnsi="Times New Roman" w:cs="Times New Roman"/>
          <w:sz w:val="24"/>
          <w:szCs w:val="24"/>
        </w:rPr>
        <w:t xml:space="preserve"> at each level</w:t>
      </w:r>
      <w:r w:rsidR="00391598" w:rsidRPr="00391598">
        <w:rPr>
          <w:rFonts w:ascii="Times New Roman" w:eastAsia="Times New Roman" w:hAnsi="Times New Roman" w:cs="Times New Roman"/>
          <w:sz w:val="24"/>
          <w:szCs w:val="24"/>
        </w:rPr>
        <w:t xml:space="preserve">. Clicking the plus button expands a category, showing subcategories or individual </w:t>
      </w:r>
      <w:r w:rsidR="001C34BE">
        <w:rPr>
          <w:rFonts w:ascii="Times New Roman" w:eastAsia="Times New Roman" w:hAnsi="Times New Roman" w:cs="Times New Roman"/>
          <w:sz w:val="24"/>
          <w:szCs w:val="24"/>
        </w:rPr>
        <w:t>ZIP codes</w:t>
      </w:r>
      <w:r w:rsidR="00391598" w:rsidRPr="00391598">
        <w:rPr>
          <w:rFonts w:ascii="Times New Roman" w:eastAsia="Times New Roman" w:hAnsi="Times New Roman" w:cs="Times New Roman"/>
          <w:sz w:val="24"/>
          <w:szCs w:val="24"/>
        </w:rPr>
        <w:t>. Clicking the minus button collapses the category, hiding the detail.</w:t>
      </w:r>
    </w:p>
    <w:p w14:paraId="4908454A" w14:textId="77777777" w:rsidR="00391598" w:rsidRDefault="00391598" w:rsidP="008424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top of the report, there are five “slicers”, which are interactive filters that represent the unique values within the selected fields.</w:t>
      </w:r>
      <w:r w:rsidR="001C34BE">
        <w:rPr>
          <w:rFonts w:ascii="Times New Roman" w:eastAsia="Times New Roman" w:hAnsi="Times New Roman" w:cs="Times New Roman"/>
          <w:sz w:val="24"/>
          <w:szCs w:val="24"/>
        </w:rPr>
        <w:t xml:space="preserve"> All slicers can be used together to filter the report to a specific </w:t>
      </w:r>
      <w:r w:rsidR="001267A7">
        <w:rPr>
          <w:rFonts w:ascii="Times New Roman" w:eastAsia="Times New Roman" w:hAnsi="Times New Roman" w:cs="Times New Roman"/>
          <w:sz w:val="24"/>
          <w:szCs w:val="24"/>
        </w:rPr>
        <w:t>view of the data</w:t>
      </w:r>
      <w:r w:rsidR="001C34BE">
        <w:rPr>
          <w:rFonts w:ascii="Times New Roman" w:eastAsia="Times New Roman" w:hAnsi="Times New Roman" w:cs="Times New Roman"/>
          <w:sz w:val="24"/>
          <w:szCs w:val="24"/>
        </w:rPr>
        <w:t>. However, since the slicers are dynamic, the values in the slicer will update based on the views selected in the other slicers. For example, if a county is selected using the County slicer, then only ZIP codes associated with that county will appear in the ZIP Code slicer.</w:t>
      </w:r>
    </w:p>
    <w:p w14:paraId="5D571700" w14:textId="77777777" w:rsidR="00A35D45" w:rsidRDefault="00A35D45" w:rsidP="003B6AA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r w:rsidRPr="00284970">
        <w:rPr>
          <w:rFonts w:ascii="Times New Roman" w:eastAsia="Times New Roman" w:hAnsi="Times New Roman" w:cs="Times New Roman"/>
          <w:b/>
          <w:bCs/>
          <w:color w:val="C0392B"/>
          <w:sz w:val="24"/>
          <w:szCs w:val="24"/>
        </w:rPr>
        <w:t>Source</w:t>
      </w:r>
      <w:r>
        <w:rPr>
          <w:rFonts w:ascii="Times New Roman" w:eastAsia="Times New Roman" w:hAnsi="Times New Roman" w:cs="Times New Roman"/>
          <w:sz w:val="24"/>
          <w:szCs w:val="24"/>
        </w:rPr>
        <w:t xml:space="preserve">” slicer </w:t>
      </w:r>
      <w:r w:rsidR="00DA2F5A">
        <w:rPr>
          <w:rFonts w:ascii="Times New Roman" w:eastAsia="Times New Roman" w:hAnsi="Times New Roman" w:cs="Times New Roman"/>
          <w:sz w:val="24"/>
          <w:szCs w:val="24"/>
        </w:rPr>
        <w:t>has three mutually-exclusive options. Selecting “All Companies”</w:t>
      </w:r>
      <w:r>
        <w:rPr>
          <w:rFonts w:ascii="Times New Roman" w:eastAsia="Times New Roman" w:hAnsi="Times New Roman" w:cs="Times New Roman"/>
          <w:sz w:val="24"/>
          <w:szCs w:val="24"/>
        </w:rPr>
        <w:t xml:space="preserve"> </w:t>
      </w:r>
      <w:r w:rsidR="00DA2F5A">
        <w:rPr>
          <w:rFonts w:ascii="Times New Roman" w:eastAsia="Times New Roman" w:hAnsi="Times New Roman" w:cs="Times New Roman"/>
          <w:sz w:val="24"/>
          <w:szCs w:val="24"/>
        </w:rPr>
        <w:t xml:space="preserve">aggregates data from all companies </w:t>
      </w:r>
      <w:r>
        <w:rPr>
          <w:rFonts w:ascii="Times New Roman" w:eastAsia="Times New Roman" w:hAnsi="Times New Roman" w:cs="Times New Roman"/>
          <w:sz w:val="24"/>
          <w:szCs w:val="24"/>
        </w:rPr>
        <w:t xml:space="preserve">that met the reporting threshold, regardless of whether they reported a fire risk </w:t>
      </w:r>
      <w:r w:rsidR="00DA2F5A">
        <w:rPr>
          <w:rFonts w:ascii="Times New Roman" w:eastAsia="Times New Roman" w:hAnsi="Times New Roman" w:cs="Times New Roman"/>
          <w:sz w:val="24"/>
          <w:szCs w:val="24"/>
        </w:rPr>
        <w:t>classification or PPC score. As such, the “Average PPC Class”, “Average Fire Risk”, and counts of negligible to extreme fire risk exposures will be null. Selecting</w:t>
      </w:r>
      <w:r w:rsidR="001C34BE">
        <w:rPr>
          <w:rFonts w:ascii="Times New Roman" w:eastAsia="Times New Roman" w:hAnsi="Times New Roman" w:cs="Times New Roman"/>
          <w:sz w:val="24"/>
          <w:szCs w:val="24"/>
        </w:rPr>
        <w:t xml:space="preserve"> the</w:t>
      </w:r>
      <w:r w:rsidR="00DA2F5A">
        <w:rPr>
          <w:rFonts w:ascii="Times New Roman" w:eastAsia="Times New Roman" w:hAnsi="Times New Roman" w:cs="Times New Roman"/>
          <w:sz w:val="24"/>
          <w:szCs w:val="24"/>
        </w:rPr>
        <w:t xml:space="preserve"> “Fire Risk Scores”</w:t>
      </w:r>
      <w:r w:rsidR="001C34BE">
        <w:rPr>
          <w:rFonts w:ascii="Times New Roman" w:eastAsia="Times New Roman" w:hAnsi="Times New Roman" w:cs="Times New Roman"/>
          <w:sz w:val="24"/>
          <w:szCs w:val="24"/>
        </w:rPr>
        <w:t xml:space="preserve"> option</w:t>
      </w:r>
      <w:r w:rsidR="00DA2F5A">
        <w:rPr>
          <w:rFonts w:ascii="Times New Roman" w:eastAsia="Times New Roman" w:hAnsi="Times New Roman" w:cs="Times New Roman"/>
          <w:sz w:val="24"/>
          <w:szCs w:val="24"/>
        </w:rPr>
        <w:t xml:space="preserve"> </w:t>
      </w:r>
      <w:r w:rsidR="00AA5AF4">
        <w:rPr>
          <w:rFonts w:ascii="Times New Roman" w:eastAsia="Times New Roman" w:hAnsi="Times New Roman" w:cs="Times New Roman"/>
          <w:sz w:val="24"/>
          <w:szCs w:val="24"/>
        </w:rPr>
        <w:t>aggregates</w:t>
      </w:r>
      <w:r w:rsidR="00DA2F5A">
        <w:rPr>
          <w:rFonts w:ascii="Times New Roman" w:eastAsia="Times New Roman" w:hAnsi="Times New Roman" w:cs="Times New Roman"/>
          <w:sz w:val="24"/>
          <w:szCs w:val="24"/>
        </w:rPr>
        <w:t xml:space="preserve"> data from the companies that reported fire risk scores/categories</w:t>
      </w:r>
      <w:r w:rsidR="003B6AAF">
        <w:rPr>
          <w:rFonts w:ascii="Times New Roman" w:eastAsia="Times New Roman" w:hAnsi="Times New Roman" w:cs="Times New Roman"/>
          <w:sz w:val="24"/>
          <w:szCs w:val="24"/>
        </w:rPr>
        <w:t>, and</w:t>
      </w:r>
      <w:r w:rsidR="001C34BE">
        <w:rPr>
          <w:rFonts w:ascii="Times New Roman" w:eastAsia="Times New Roman" w:hAnsi="Times New Roman" w:cs="Times New Roman"/>
          <w:sz w:val="24"/>
          <w:szCs w:val="24"/>
        </w:rPr>
        <w:t xml:space="preserve"> thus</w:t>
      </w:r>
      <w:r w:rsidR="003B6AAF">
        <w:rPr>
          <w:rFonts w:ascii="Times New Roman" w:eastAsia="Times New Roman" w:hAnsi="Times New Roman" w:cs="Times New Roman"/>
          <w:sz w:val="24"/>
          <w:szCs w:val="24"/>
        </w:rPr>
        <w:t xml:space="preserve"> the “Average Fire Risk” and counts of low to extreme fire risk exposures will populate in the table.</w:t>
      </w:r>
      <w:r w:rsidR="00DA2F5A">
        <w:rPr>
          <w:rFonts w:ascii="Times New Roman" w:eastAsia="Times New Roman" w:hAnsi="Times New Roman" w:cs="Times New Roman"/>
          <w:sz w:val="24"/>
          <w:szCs w:val="24"/>
        </w:rPr>
        <w:t xml:space="preserve"> </w:t>
      </w:r>
      <w:r w:rsidR="00AA5AF4">
        <w:rPr>
          <w:rFonts w:ascii="Times New Roman" w:eastAsia="Times New Roman" w:hAnsi="Times New Roman" w:cs="Times New Roman"/>
          <w:sz w:val="24"/>
          <w:szCs w:val="24"/>
        </w:rPr>
        <w:t xml:space="preserve">Finally, selecting </w:t>
      </w:r>
      <w:r w:rsidR="001C34BE">
        <w:rPr>
          <w:rFonts w:ascii="Times New Roman" w:eastAsia="Times New Roman" w:hAnsi="Times New Roman" w:cs="Times New Roman"/>
          <w:sz w:val="24"/>
          <w:szCs w:val="24"/>
        </w:rPr>
        <w:t xml:space="preserve">the </w:t>
      </w:r>
      <w:r w:rsidR="00AA5AF4">
        <w:rPr>
          <w:rFonts w:ascii="Times New Roman" w:eastAsia="Times New Roman" w:hAnsi="Times New Roman" w:cs="Times New Roman"/>
          <w:sz w:val="24"/>
          <w:szCs w:val="24"/>
        </w:rPr>
        <w:t>“PPC Scores”</w:t>
      </w:r>
      <w:r w:rsidR="001C34BE">
        <w:rPr>
          <w:rFonts w:ascii="Times New Roman" w:eastAsia="Times New Roman" w:hAnsi="Times New Roman" w:cs="Times New Roman"/>
          <w:sz w:val="24"/>
          <w:szCs w:val="24"/>
        </w:rPr>
        <w:t xml:space="preserve"> option</w:t>
      </w:r>
      <w:r w:rsidR="00AA5AF4">
        <w:rPr>
          <w:rFonts w:ascii="Times New Roman" w:eastAsia="Times New Roman" w:hAnsi="Times New Roman" w:cs="Times New Roman"/>
          <w:sz w:val="24"/>
          <w:szCs w:val="24"/>
        </w:rPr>
        <w:t xml:space="preserve"> aggregates data from the companies that reported </w:t>
      </w:r>
      <w:r w:rsidR="003B6AAF">
        <w:rPr>
          <w:rFonts w:ascii="Times New Roman" w:eastAsia="Times New Roman" w:hAnsi="Times New Roman" w:cs="Times New Roman"/>
          <w:sz w:val="24"/>
          <w:szCs w:val="24"/>
        </w:rPr>
        <w:t xml:space="preserve">a PPC score, and the “Average PPC Score” field will populate with data. Note that companies may report both a fire risk classification and a PPC score, </w:t>
      </w:r>
      <w:r w:rsidR="001C34BE">
        <w:rPr>
          <w:rFonts w:ascii="Times New Roman" w:eastAsia="Times New Roman" w:hAnsi="Times New Roman" w:cs="Times New Roman"/>
          <w:sz w:val="24"/>
          <w:szCs w:val="24"/>
        </w:rPr>
        <w:t>either</w:t>
      </w:r>
      <w:r w:rsidR="003B6AAF">
        <w:rPr>
          <w:rFonts w:ascii="Times New Roman" w:eastAsia="Times New Roman" w:hAnsi="Times New Roman" w:cs="Times New Roman"/>
          <w:sz w:val="24"/>
          <w:szCs w:val="24"/>
        </w:rPr>
        <w:t xml:space="preserve"> one of those fields, or neither</w:t>
      </w:r>
      <w:r w:rsidR="003B6AAF" w:rsidRPr="003B6AAF">
        <w:rPr>
          <w:rFonts w:ascii="Times New Roman" w:eastAsia="Times New Roman" w:hAnsi="Times New Roman" w:cs="Times New Roman"/>
          <w:sz w:val="24"/>
          <w:szCs w:val="24"/>
        </w:rPr>
        <w:t>.</w:t>
      </w:r>
    </w:p>
    <w:p w14:paraId="711A4326" w14:textId="77777777" w:rsidR="003B6AAF" w:rsidRDefault="003B6AAF" w:rsidP="003B6AA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r w:rsidRPr="00284970">
        <w:rPr>
          <w:rFonts w:ascii="Times New Roman" w:eastAsia="Times New Roman" w:hAnsi="Times New Roman" w:cs="Times New Roman"/>
          <w:b/>
          <w:bCs/>
          <w:color w:val="C0392B"/>
          <w:sz w:val="24"/>
          <w:szCs w:val="24"/>
        </w:rPr>
        <w:t>Calendar Year</w:t>
      </w:r>
      <w:r>
        <w:rPr>
          <w:rFonts w:ascii="Times New Roman" w:eastAsia="Times New Roman" w:hAnsi="Times New Roman" w:cs="Times New Roman"/>
          <w:sz w:val="24"/>
          <w:szCs w:val="24"/>
        </w:rPr>
        <w:t xml:space="preserve">” slicer </w:t>
      </w:r>
      <w:r w:rsidR="00391598">
        <w:rPr>
          <w:rFonts w:ascii="Times New Roman" w:eastAsia="Times New Roman" w:hAnsi="Times New Roman" w:cs="Times New Roman"/>
          <w:sz w:val="24"/>
          <w:szCs w:val="24"/>
        </w:rPr>
        <w:t>filters</w:t>
      </w:r>
      <w:r>
        <w:rPr>
          <w:rFonts w:ascii="Times New Roman" w:eastAsia="Times New Roman" w:hAnsi="Times New Roman" w:cs="Times New Roman"/>
          <w:sz w:val="24"/>
          <w:szCs w:val="24"/>
        </w:rPr>
        <w:t xml:space="preserve"> the data </w:t>
      </w:r>
      <w:r w:rsidR="001C34BE">
        <w:rPr>
          <w:rFonts w:ascii="Times New Roman" w:eastAsia="Times New Roman" w:hAnsi="Times New Roman" w:cs="Times New Roman"/>
          <w:sz w:val="24"/>
          <w:szCs w:val="24"/>
        </w:rPr>
        <w:t>to aggregate by</w:t>
      </w:r>
      <w:r>
        <w:rPr>
          <w:rFonts w:ascii="Times New Roman" w:eastAsia="Times New Roman" w:hAnsi="Times New Roman" w:cs="Times New Roman"/>
          <w:sz w:val="24"/>
          <w:szCs w:val="24"/>
        </w:rPr>
        <w:t xml:space="preserve"> a single calendar year</w:t>
      </w:r>
      <w:r w:rsidR="00391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1598">
        <w:rPr>
          <w:rFonts w:ascii="Times New Roman" w:eastAsia="Times New Roman" w:hAnsi="Times New Roman" w:cs="Times New Roman"/>
          <w:sz w:val="24"/>
          <w:szCs w:val="24"/>
        </w:rPr>
        <w:t>M</w:t>
      </w:r>
      <w:r>
        <w:rPr>
          <w:rFonts w:ascii="Times New Roman" w:eastAsia="Times New Roman" w:hAnsi="Times New Roman" w:cs="Times New Roman"/>
          <w:sz w:val="24"/>
          <w:szCs w:val="24"/>
        </w:rPr>
        <w:t>ultiple calendar years can be selected by toggling the “Multi-Select” button in the upper right corner of the slicer.</w:t>
      </w:r>
    </w:p>
    <w:p w14:paraId="178EF514" w14:textId="77777777" w:rsidR="003B6AAF" w:rsidRDefault="003B6AAF" w:rsidP="003B6AA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r w:rsidRPr="00284970">
        <w:rPr>
          <w:rFonts w:ascii="Times New Roman" w:eastAsia="Times New Roman" w:hAnsi="Times New Roman" w:cs="Times New Roman"/>
          <w:b/>
          <w:bCs/>
          <w:color w:val="C0392B"/>
          <w:sz w:val="24"/>
          <w:szCs w:val="24"/>
        </w:rPr>
        <w:t>Policy Type</w:t>
      </w:r>
      <w:r>
        <w:rPr>
          <w:rFonts w:ascii="Times New Roman" w:eastAsia="Times New Roman" w:hAnsi="Times New Roman" w:cs="Times New Roman"/>
          <w:sz w:val="24"/>
          <w:szCs w:val="24"/>
        </w:rPr>
        <w:t xml:space="preserve">” slicer </w:t>
      </w:r>
      <w:r w:rsidR="00391598">
        <w:rPr>
          <w:rFonts w:ascii="Times New Roman" w:eastAsia="Times New Roman" w:hAnsi="Times New Roman" w:cs="Times New Roman"/>
          <w:sz w:val="24"/>
          <w:szCs w:val="24"/>
        </w:rPr>
        <w:t xml:space="preserve">filters the data to </w:t>
      </w:r>
      <w:r w:rsidR="001C34BE">
        <w:rPr>
          <w:rFonts w:ascii="Times New Roman" w:eastAsia="Times New Roman" w:hAnsi="Times New Roman" w:cs="Times New Roman"/>
          <w:sz w:val="24"/>
          <w:szCs w:val="24"/>
        </w:rPr>
        <w:t xml:space="preserve">aggregate by the selected </w:t>
      </w:r>
      <w:r w:rsidR="00391598">
        <w:rPr>
          <w:rFonts w:ascii="Times New Roman" w:eastAsia="Times New Roman" w:hAnsi="Times New Roman" w:cs="Times New Roman"/>
          <w:sz w:val="24"/>
          <w:szCs w:val="24"/>
        </w:rPr>
        <w:t xml:space="preserve">policy type, </w:t>
      </w:r>
      <w:r w:rsidR="00BF4686">
        <w:rPr>
          <w:rFonts w:ascii="Times New Roman" w:eastAsia="Times New Roman" w:hAnsi="Times New Roman" w:cs="Times New Roman"/>
          <w:sz w:val="24"/>
          <w:szCs w:val="24"/>
        </w:rPr>
        <w:t xml:space="preserve">using the acronyms </w:t>
      </w:r>
      <w:r w:rsidR="00391598">
        <w:rPr>
          <w:rFonts w:ascii="Times New Roman" w:eastAsia="Times New Roman" w:hAnsi="Times New Roman" w:cs="Times New Roman"/>
          <w:sz w:val="24"/>
          <w:szCs w:val="24"/>
        </w:rPr>
        <w:t xml:space="preserve">defined </w:t>
      </w:r>
      <w:r w:rsidR="00BF4686">
        <w:rPr>
          <w:rFonts w:ascii="Times New Roman" w:eastAsia="Times New Roman" w:hAnsi="Times New Roman" w:cs="Times New Roman"/>
          <w:sz w:val="24"/>
          <w:szCs w:val="24"/>
        </w:rPr>
        <w:t>earlier</w:t>
      </w:r>
      <w:r w:rsidR="001C34BE">
        <w:rPr>
          <w:rFonts w:ascii="Times New Roman" w:eastAsia="Times New Roman" w:hAnsi="Times New Roman" w:cs="Times New Roman"/>
          <w:sz w:val="24"/>
          <w:szCs w:val="24"/>
        </w:rPr>
        <w:t>. M</w:t>
      </w:r>
      <w:r w:rsidR="00391598">
        <w:rPr>
          <w:rFonts w:ascii="Times New Roman" w:eastAsia="Times New Roman" w:hAnsi="Times New Roman" w:cs="Times New Roman"/>
          <w:sz w:val="24"/>
          <w:szCs w:val="24"/>
        </w:rPr>
        <w:t>ultiple</w:t>
      </w:r>
      <w:r w:rsidR="001C34BE">
        <w:rPr>
          <w:rFonts w:ascii="Times New Roman" w:eastAsia="Times New Roman" w:hAnsi="Times New Roman" w:cs="Times New Roman"/>
          <w:sz w:val="24"/>
          <w:szCs w:val="24"/>
        </w:rPr>
        <w:t xml:space="preserve"> </w:t>
      </w:r>
      <w:r w:rsidR="00391598">
        <w:rPr>
          <w:rFonts w:ascii="Times New Roman" w:eastAsia="Times New Roman" w:hAnsi="Times New Roman" w:cs="Times New Roman"/>
          <w:sz w:val="24"/>
          <w:szCs w:val="24"/>
        </w:rPr>
        <w:t>policy types can be</w:t>
      </w:r>
      <w:r w:rsidR="00BF4686">
        <w:rPr>
          <w:rFonts w:ascii="Times New Roman" w:eastAsia="Times New Roman" w:hAnsi="Times New Roman" w:cs="Times New Roman"/>
          <w:sz w:val="24"/>
          <w:szCs w:val="24"/>
        </w:rPr>
        <w:t xml:space="preserve"> selected using the “Multi-Select” button.</w:t>
      </w:r>
    </w:p>
    <w:p w14:paraId="625CC5DF" w14:textId="77777777" w:rsidR="00BF4686" w:rsidRDefault="00BF4686" w:rsidP="003B6AA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r w:rsidRPr="00284970">
        <w:rPr>
          <w:rFonts w:ascii="Times New Roman" w:eastAsia="Times New Roman" w:hAnsi="Times New Roman" w:cs="Times New Roman"/>
          <w:b/>
          <w:bCs/>
          <w:color w:val="C0392B"/>
          <w:sz w:val="24"/>
          <w:szCs w:val="24"/>
        </w:rPr>
        <w:t>County</w:t>
      </w:r>
      <w:r>
        <w:rPr>
          <w:rFonts w:ascii="Times New Roman" w:eastAsia="Times New Roman" w:hAnsi="Times New Roman" w:cs="Times New Roman"/>
          <w:sz w:val="24"/>
          <w:szCs w:val="24"/>
        </w:rPr>
        <w:t xml:space="preserve">” slicer filters the data to </w:t>
      </w:r>
      <w:r w:rsidR="001C34BE">
        <w:rPr>
          <w:rFonts w:ascii="Times New Roman" w:eastAsia="Times New Roman" w:hAnsi="Times New Roman" w:cs="Times New Roman"/>
          <w:sz w:val="24"/>
          <w:szCs w:val="24"/>
        </w:rPr>
        <w:t xml:space="preserve">aggregate by a </w:t>
      </w:r>
      <w:r>
        <w:rPr>
          <w:rFonts w:ascii="Times New Roman" w:eastAsia="Times New Roman" w:hAnsi="Times New Roman" w:cs="Times New Roman"/>
          <w:sz w:val="24"/>
          <w:szCs w:val="24"/>
        </w:rPr>
        <w:t xml:space="preserve">single county, </w:t>
      </w:r>
      <w:r w:rsidR="001C34BE">
        <w:rPr>
          <w:rFonts w:ascii="Times New Roman" w:eastAsia="Times New Roman" w:hAnsi="Times New Roman" w:cs="Times New Roman"/>
          <w:sz w:val="24"/>
          <w:szCs w:val="24"/>
        </w:rPr>
        <w:t>though</w:t>
      </w:r>
      <w:r w:rsidR="0038674C">
        <w:rPr>
          <w:rFonts w:ascii="Times New Roman" w:eastAsia="Times New Roman" w:hAnsi="Times New Roman" w:cs="Times New Roman"/>
          <w:sz w:val="24"/>
          <w:szCs w:val="24"/>
        </w:rPr>
        <w:t xml:space="preserve"> multiple counties can be selected using the “Multi-Select” button.</w:t>
      </w:r>
      <w:r w:rsidR="001C34BE">
        <w:rPr>
          <w:rFonts w:ascii="Times New Roman" w:eastAsia="Times New Roman" w:hAnsi="Times New Roman" w:cs="Times New Roman"/>
          <w:sz w:val="24"/>
          <w:szCs w:val="24"/>
        </w:rPr>
        <w:t xml:space="preserve"> Use the scrollbar to move through the list. </w:t>
      </w:r>
    </w:p>
    <w:p w14:paraId="10A30C99" w14:textId="649C4C99" w:rsidR="000F5C18" w:rsidRPr="00967086" w:rsidRDefault="0038674C" w:rsidP="0084247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t>
      </w:r>
      <w:r w:rsidRPr="00284970">
        <w:rPr>
          <w:rFonts w:ascii="Times New Roman" w:eastAsia="Times New Roman" w:hAnsi="Times New Roman" w:cs="Times New Roman"/>
          <w:b/>
          <w:bCs/>
          <w:color w:val="C0392B"/>
          <w:sz w:val="24"/>
          <w:szCs w:val="24"/>
        </w:rPr>
        <w:t>ZIP Code</w:t>
      </w:r>
      <w:r>
        <w:rPr>
          <w:rFonts w:ascii="Times New Roman" w:eastAsia="Times New Roman" w:hAnsi="Times New Roman" w:cs="Times New Roman"/>
          <w:sz w:val="24"/>
          <w:szCs w:val="24"/>
        </w:rPr>
        <w:t>” slicer filters the data to a specific ZIP code,</w:t>
      </w:r>
      <w:r w:rsidR="001C34BE">
        <w:rPr>
          <w:rFonts w:ascii="Times New Roman" w:eastAsia="Times New Roman" w:hAnsi="Times New Roman" w:cs="Times New Roman"/>
          <w:sz w:val="24"/>
          <w:szCs w:val="24"/>
        </w:rPr>
        <w:t xml:space="preserve"> though</w:t>
      </w:r>
      <w:r>
        <w:rPr>
          <w:rFonts w:ascii="Times New Roman" w:eastAsia="Times New Roman" w:hAnsi="Times New Roman" w:cs="Times New Roman"/>
          <w:sz w:val="24"/>
          <w:szCs w:val="24"/>
        </w:rPr>
        <w:t xml:space="preserve"> multiple ZIP codes can be selected using the “Multi-Select” button. </w:t>
      </w:r>
      <w:r w:rsidR="001C34BE">
        <w:rPr>
          <w:rFonts w:ascii="Times New Roman" w:eastAsia="Times New Roman" w:hAnsi="Times New Roman" w:cs="Times New Roman"/>
          <w:sz w:val="24"/>
          <w:szCs w:val="24"/>
        </w:rPr>
        <w:t xml:space="preserve">Use the scrollbar to search the entire list. </w:t>
      </w:r>
      <w:r>
        <w:rPr>
          <w:rFonts w:ascii="Times New Roman" w:eastAsia="Times New Roman" w:hAnsi="Times New Roman" w:cs="Times New Roman"/>
          <w:sz w:val="24"/>
          <w:szCs w:val="24"/>
        </w:rPr>
        <w:t>Only ZIP codes with reported data will be displayed. In other words, the list does not include every possible ZIP code in California, but only the ones where there is data to display. Since ZIP codes can overlap with multiple counties, ZIP codes were assigned to a single county using the USPS City State Product for California.</w:t>
      </w:r>
    </w:p>
    <w:sectPr w:rsidR="000F5C18" w:rsidRPr="009670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F59FF" w14:textId="77777777" w:rsidR="00843EDA" w:rsidRDefault="00843EDA" w:rsidP="00843EDA">
      <w:pPr>
        <w:spacing w:after="0" w:line="240" w:lineRule="auto"/>
      </w:pPr>
      <w:r>
        <w:separator/>
      </w:r>
    </w:p>
  </w:endnote>
  <w:endnote w:type="continuationSeparator" w:id="0">
    <w:p w14:paraId="4CA08141" w14:textId="77777777" w:rsidR="00843EDA" w:rsidRDefault="00843EDA" w:rsidP="0084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0161D" w14:textId="77777777" w:rsidR="00843EDA" w:rsidRDefault="00843EDA" w:rsidP="00843EDA">
      <w:pPr>
        <w:spacing w:after="0" w:line="240" w:lineRule="auto"/>
      </w:pPr>
      <w:r>
        <w:separator/>
      </w:r>
    </w:p>
  </w:footnote>
  <w:footnote w:type="continuationSeparator" w:id="0">
    <w:p w14:paraId="3C3E9B2E" w14:textId="77777777" w:rsidR="00843EDA" w:rsidRDefault="00843EDA" w:rsidP="00843EDA">
      <w:pPr>
        <w:spacing w:after="0" w:line="240" w:lineRule="auto"/>
      </w:pPr>
      <w:r>
        <w:continuationSeparator/>
      </w:r>
    </w:p>
  </w:footnote>
  <w:footnote w:id="1">
    <w:p w14:paraId="2CA37C8F" w14:textId="77777777" w:rsidR="00284970" w:rsidRPr="00F57892" w:rsidRDefault="00284970" w:rsidP="00284970">
      <w:pPr>
        <w:pStyle w:val="FootnoteText"/>
        <w:rPr>
          <w:rFonts w:ascii="Times New Roman" w:hAnsi="Times New Roman" w:cs="Times New Roman"/>
        </w:rPr>
      </w:pPr>
      <w:r w:rsidRPr="00F57892">
        <w:rPr>
          <w:rStyle w:val="FootnoteReference"/>
          <w:rFonts w:ascii="Times New Roman" w:hAnsi="Times New Roman" w:cs="Times New Roman"/>
        </w:rPr>
        <w:footnoteRef/>
      </w:r>
      <w:r w:rsidRPr="00F57892">
        <w:rPr>
          <w:rFonts w:ascii="Times New Roman" w:hAnsi="Times New Roman" w:cs="Times New Roman"/>
        </w:rPr>
        <w:t xml:space="preserve"> The exception is losses from 2019, which were evaluated as-of January 31, 2020, and were not updated.</w:t>
      </w:r>
    </w:p>
  </w:footnote>
  <w:footnote w:id="2">
    <w:p w14:paraId="16EE4183" w14:textId="77777777" w:rsidR="002328D9" w:rsidRPr="00F57892" w:rsidRDefault="002328D9">
      <w:pPr>
        <w:pStyle w:val="FootnoteText"/>
        <w:rPr>
          <w:rFonts w:ascii="Times New Roman" w:hAnsi="Times New Roman" w:cs="Times New Roman"/>
        </w:rPr>
      </w:pPr>
      <w:r w:rsidRPr="00F57892">
        <w:rPr>
          <w:rStyle w:val="FootnoteReference"/>
          <w:rFonts w:ascii="Times New Roman" w:hAnsi="Times New Roman" w:cs="Times New Roman"/>
        </w:rPr>
        <w:footnoteRef/>
      </w:r>
      <w:r w:rsidRPr="00F57892">
        <w:rPr>
          <w:rFonts w:ascii="Times New Roman" w:hAnsi="Times New Roman" w:cs="Times New Roman"/>
        </w:rPr>
        <w:t xml:space="preserve"> These scores and classifications reflect the fire risk for a particular insured property, </w:t>
      </w:r>
      <w:r w:rsidR="00735A4F" w:rsidRPr="00F57892">
        <w:rPr>
          <w:rFonts w:ascii="Times New Roman" w:hAnsi="Times New Roman" w:cs="Times New Roman"/>
        </w:rPr>
        <w:t xml:space="preserve">which are then aggregated together to create an average. These are not the </w:t>
      </w:r>
      <w:r w:rsidRPr="00F57892">
        <w:rPr>
          <w:rFonts w:ascii="Times New Roman" w:hAnsi="Times New Roman" w:cs="Times New Roman"/>
        </w:rPr>
        <w:t xml:space="preserve">scores or classifications that would apply to all homes in </w:t>
      </w:r>
      <w:r w:rsidR="00735A4F" w:rsidRPr="00F57892">
        <w:rPr>
          <w:rFonts w:ascii="Times New Roman" w:hAnsi="Times New Roman" w:cs="Times New Roman"/>
        </w:rPr>
        <w:t>a given</w:t>
      </w:r>
      <w:r w:rsidRPr="00F57892">
        <w:rPr>
          <w:rFonts w:ascii="Times New Roman" w:hAnsi="Times New Roman" w:cs="Times New Roman"/>
        </w:rPr>
        <w:t xml:space="preserve"> ZIP code. </w:t>
      </w:r>
    </w:p>
  </w:footnote>
  <w:footnote w:id="3">
    <w:p w14:paraId="4D53EBFF" w14:textId="77777777" w:rsidR="00843EDA" w:rsidRPr="00F57892" w:rsidRDefault="00843EDA">
      <w:pPr>
        <w:pStyle w:val="FootnoteText"/>
        <w:rPr>
          <w:rFonts w:ascii="Times New Roman" w:hAnsi="Times New Roman" w:cs="Times New Roman"/>
        </w:rPr>
      </w:pPr>
      <w:r w:rsidRPr="00F57892">
        <w:rPr>
          <w:rStyle w:val="FootnoteReference"/>
          <w:rFonts w:ascii="Times New Roman" w:hAnsi="Times New Roman" w:cs="Times New Roman"/>
        </w:rPr>
        <w:footnoteRef/>
      </w:r>
      <w:r w:rsidRPr="00F57892">
        <w:rPr>
          <w:rFonts w:ascii="Times New Roman" w:hAnsi="Times New Roman" w:cs="Times New Roman"/>
        </w:rPr>
        <w:t xml:space="preserve"> Walters, M. A. (2007). </w:t>
      </w:r>
      <w:r w:rsidRPr="00F57892">
        <w:rPr>
          <w:rFonts w:ascii="Times New Roman" w:hAnsi="Times New Roman" w:cs="Times New Roman"/>
          <w:i/>
          <w:iCs/>
        </w:rPr>
        <w:t>Catastrophe ratemaking</w:t>
      </w:r>
      <w:r w:rsidRPr="00F57892">
        <w:rPr>
          <w:rFonts w:ascii="Times New Roman" w:hAnsi="Times New Roman" w:cs="Times New Roman"/>
        </w:rPr>
        <w:t>. Casualty Actuarial Society Study Note.</w:t>
      </w:r>
    </w:p>
  </w:footnote>
  <w:footnote w:id="4">
    <w:p w14:paraId="27917253" w14:textId="77777777" w:rsidR="00D512FF" w:rsidRDefault="00D512FF">
      <w:pPr>
        <w:pStyle w:val="FootnoteText"/>
      </w:pPr>
      <w:r w:rsidRPr="00F57892">
        <w:rPr>
          <w:rStyle w:val="FootnoteReference"/>
          <w:rFonts w:ascii="Times New Roman" w:hAnsi="Times New Roman" w:cs="Times New Roman"/>
        </w:rPr>
        <w:footnoteRef/>
      </w:r>
      <w:r w:rsidRPr="00F57892">
        <w:rPr>
          <w:rFonts w:ascii="Times New Roman" w:hAnsi="Times New Roman" w:cs="Times New Roman"/>
        </w:rPr>
        <w:t xml:space="preserve"> </w:t>
      </w:r>
      <w:hyperlink r:id="rId1" w:history="1">
        <w:r w:rsidRPr="00F57892">
          <w:rPr>
            <w:rStyle w:val="Hyperlink"/>
            <w:rFonts w:ascii="Times New Roman" w:hAnsi="Times New Roman" w:cs="Times New Roman"/>
          </w:rPr>
          <w:t>https://www.verisk.com/4a5267/siteassets/media/pcs/pcs-consolidated-methodology-paper.pdf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90277"/>
    <w:multiLevelType w:val="multilevel"/>
    <w:tmpl w:val="959E6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B5758"/>
    <w:multiLevelType w:val="multilevel"/>
    <w:tmpl w:val="959E6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5066CB"/>
    <w:multiLevelType w:val="multilevel"/>
    <w:tmpl w:val="959E6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095CF2"/>
    <w:multiLevelType w:val="hybridMultilevel"/>
    <w:tmpl w:val="2E6C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354681">
    <w:abstractNumId w:val="2"/>
  </w:num>
  <w:num w:numId="2" w16cid:durableId="400560200">
    <w:abstractNumId w:val="3"/>
  </w:num>
  <w:num w:numId="3" w16cid:durableId="668211113">
    <w:abstractNumId w:val="0"/>
  </w:num>
  <w:num w:numId="4" w16cid:durableId="79953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79"/>
    <w:rsid w:val="00017665"/>
    <w:rsid w:val="000227CA"/>
    <w:rsid w:val="000F5C18"/>
    <w:rsid w:val="001267A7"/>
    <w:rsid w:val="001C34BE"/>
    <w:rsid w:val="002328D9"/>
    <w:rsid w:val="00276CEB"/>
    <w:rsid w:val="00284970"/>
    <w:rsid w:val="0038674C"/>
    <w:rsid w:val="00391598"/>
    <w:rsid w:val="003B6AAF"/>
    <w:rsid w:val="00616B73"/>
    <w:rsid w:val="00663AA8"/>
    <w:rsid w:val="006D6567"/>
    <w:rsid w:val="00735A4F"/>
    <w:rsid w:val="0084247E"/>
    <w:rsid w:val="00843EDA"/>
    <w:rsid w:val="00967086"/>
    <w:rsid w:val="00A03765"/>
    <w:rsid w:val="00A35D45"/>
    <w:rsid w:val="00AA5AF4"/>
    <w:rsid w:val="00BF4686"/>
    <w:rsid w:val="00D512FF"/>
    <w:rsid w:val="00DA2F5A"/>
    <w:rsid w:val="00E73D79"/>
    <w:rsid w:val="00F57892"/>
    <w:rsid w:val="00F6347C"/>
    <w:rsid w:val="00FA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A0B0"/>
  <w15:chartTrackingRefBased/>
  <w15:docId w15:val="{9334B6D3-E9AE-4B07-8715-E8F466CA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47E"/>
  </w:style>
  <w:style w:type="paragraph" w:styleId="Heading1">
    <w:name w:val="heading 1"/>
    <w:basedOn w:val="Normal"/>
    <w:link w:val="Heading1Char"/>
    <w:uiPriority w:val="9"/>
    <w:qFormat/>
    <w:rsid w:val="00E73D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3D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3D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D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3D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3D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73D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3D79"/>
    <w:rPr>
      <w:b/>
      <w:bCs/>
    </w:rPr>
  </w:style>
  <w:style w:type="paragraph" w:styleId="ListParagraph">
    <w:name w:val="List Paragraph"/>
    <w:basedOn w:val="Normal"/>
    <w:uiPriority w:val="34"/>
    <w:qFormat/>
    <w:rsid w:val="0084247E"/>
    <w:pPr>
      <w:ind w:left="720"/>
      <w:contextualSpacing/>
    </w:pPr>
  </w:style>
  <w:style w:type="paragraph" w:styleId="FootnoteText">
    <w:name w:val="footnote text"/>
    <w:basedOn w:val="Normal"/>
    <w:link w:val="FootnoteTextChar"/>
    <w:uiPriority w:val="99"/>
    <w:semiHidden/>
    <w:unhideWhenUsed/>
    <w:rsid w:val="00843E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EDA"/>
    <w:rPr>
      <w:sz w:val="20"/>
      <w:szCs w:val="20"/>
    </w:rPr>
  </w:style>
  <w:style w:type="character" w:styleId="FootnoteReference">
    <w:name w:val="footnote reference"/>
    <w:basedOn w:val="DefaultParagraphFont"/>
    <w:uiPriority w:val="99"/>
    <w:semiHidden/>
    <w:unhideWhenUsed/>
    <w:rsid w:val="00843EDA"/>
    <w:rPr>
      <w:vertAlign w:val="superscript"/>
    </w:rPr>
  </w:style>
  <w:style w:type="character" w:styleId="Hyperlink">
    <w:name w:val="Hyperlink"/>
    <w:basedOn w:val="DefaultParagraphFont"/>
    <w:uiPriority w:val="99"/>
    <w:unhideWhenUsed/>
    <w:rsid w:val="00D512FF"/>
    <w:rPr>
      <w:color w:val="0563C1" w:themeColor="hyperlink"/>
      <w:u w:val="single"/>
    </w:rPr>
  </w:style>
  <w:style w:type="character" w:styleId="UnresolvedMention">
    <w:name w:val="Unresolved Mention"/>
    <w:basedOn w:val="DefaultParagraphFont"/>
    <w:uiPriority w:val="99"/>
    <w:semiHidden/>
    <w:unhideWhenUsed/>
    <w:rsid w:val="00D51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012">
      <w:bodyDiv w:val="1"/>
      <w:marLeft w:val="0"/>
      <w:marRight w:val="0"/>
      <w:marTop w:val="0"/>
      <w:marBottom w:val="0"/>
      <w:divBdr>
        <w:top w:val="none" w:sz="0" w:space="0" w:color="auto"/>
        <w:left w:val="none" w:sz="0" w:space="0" w:color="auto"/>
        <w:bottom w:val="none" w:sz="0" w:space="0" w:color="auto"/>
        <w:right w:val="none" w:sz="0" w:space="0" w:color="auto"/>
      </w:divBdr>
      <w:divsChild>
        <w:div w:id="920918695">
          <w:marLeft w:val="0"/>
          <w:marRight w:val="0"/>
          <w:marTop w:val="0"/>
          <w:marBottom w:val="0"/>
          <w:divBdr>
            <w:top w:val="none" w:sz="0" w:space="0" w:color="auto"/>
            <w:left w:val="none" w:sz="0" w:space="0" w:color="auto"/>
            <w:bottom w:val="none" w:sz="0" w:space="0" w:color="auto"/>
            <w:right w:val="none" w:sz="0" w:space="0" w:color="auto"/>
          </w:divBdr>
          <w:divsChild>
            <w:div w:id="1436712777">
              <w:marLeft w:val="0"/>
              <w:marRight w:val="0"/>
              <w:marTop w:val="0"/>
              <w:marBottom w:val="0"/>
              <w:divBdr>
                <w:top w:val="none" w:sz="0" w:space="0" w:color="auto"/>
                <w:left w:val="none" w:sz="0" w:space="0" w:color="auto"/>
                <w:bottom w:val="none" w:sz="0" w:space="0" w:color="auto"/>
                <w:right w:val="none" w:sz="0" w:space="0" w:color="auto"/>
              </w:divBdr>
              <w:divsChild>
                <w:div w:id="1016731188">
                  <w:marLeft w:val="0"/>
                  <w:marRight w:val="0"/>
                  <w:marTop w:val="0"/>
                  <w:marBottom w:val="0"/>
                  <w:divBdr>
                    <w:top w:val="none" w:sz="0" w:space="0" w:color="auto"/>
                    <w:left w:val="none" w:sz="0" w:space="0" w:color="auto"/>
                    <w:bottom w:val="none" w:sz="0" w:space="0" w:color="auto"/>
                    <w:right w:val="none" w:sz="0" w:space="0" w:color="auto"/>
                  </w:divBdr>
                  <w:divsChild>
                    <w:div w:id="726220833">
                      <w:marLeft w:val="0"/>
                      <w:marRight w:val="0"/>
                      <w:marTop w:val="0"/>
                      <w:marBottom w:val="0"/>
                      <w:divBdr>
                        <w:top w:val="none" w:sz="0" w:space="0" w:color="auto"/>
                        <w:left w:val="none" w:sz="0" w:space="0" w:color="auto"/>
                        <w:bottom w:val="none" w:sz="0" w:space="0" w:color="auto"/>
                        <w:right w:val="none" w:sz="0" w:space="0" w:color="auto"/>
                      </w:divBdr>
                      <w:divsChild>
                        <w:div w:id="456528955">
                          <w:marLeft w:val="0"/>
                          <w:marRight w:val="0"/>
                          <w:marTop w:val="0"/>
                          <w:marBottom w:val="0"/>
                          <w:divBdr>
                            <w:top w:val="none" w:sz="0" w:space="0" w:color="auto"/>
                            <w:left w:val="none" w:sz="0" w:space="0" w:color="auto"/>
                            <w:bottom w:val="none" w:sz="0" w:space="0" w:color="auto"/>
                            <w:right w:val="none" w:sz="0" w:space="0" w:color="auto"/>
                          </w:divBdr>
                          <w:divsChild>
                            <w:div w:id="12427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989091">
      <w:bodyDiv w:val="1"/>
      <w:marLeft w:val="0"/>
      <w:marRight w:val="0"/>
      <w:marTop w:val="0"/>
      <w:marBottom w:val="0"/>
      <w:divBdr>
        <w:top w:val="none" w:sz="0" w:space="0" w:color="auto"/>
        <w:left w:val="none" w:sz="0" w:space="0" w:color="auto"/>
        <w:bottom w:val="none" w:sz="0" w:space="0" w:color="auto"/>
        <w:right w:val="none" w:sz="0" w:space="0" w:color="auto"/>
      </w:divBdr>
    </w:div>
    <w:div w:id="957759568">
      <w:bodyDiv w:val="1"/>
      <w:marLeft w:val="0"/>
      <w:marRight w:val="0"/>
      <w:marTop w:val="0"/>
      <w:marBottom w:val="0"/>
      <w:divBdr>
        <w:top w:val="none" w:sz="0" w:space="0" w:color="auto"/>
        <w:left w:val="none" w:sz="0" w:space="0" w:color="auto"/>
        <w:bottom w:val="none" w:sz="0" w:space="0" w:color="auto"/>
        <w:right w:val="none" w:sz="0" w:space="0" w:color="auto"/>
      </w:divBdr>
    </w:div>
    <w:div w:id="13500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erisk.com/4a5267/siteassets/media/pcs/pcs-consolidated-methodology-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147F-86A2-4BFB-9F8D-C73F7821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4</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Dept of Insurance</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Mumper, Micah</dc:creator>
  <cp:keywords/>
  <dc:description/>
  <cp:lastModifiedBy>Mumper, Micah</cp:lastModifiedBy>
  <cp:revision>8</cp:revision>
  <dcterms:created xsi:type="dcterms:W3CDTF">2025-04-16T14:44:00Z</dcterms:created>
  <dcterms:modified xsi:type="dcterms:W3CDTF">2025-07-07T20:49:00Z</dcterms:modified>
</cp:coreProperties>
</file>