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508" w:rsidRDefault="00BD1508" w:rsidP="00844B6A">
      <w:pPr>
        <w:jc w:val="center"/>
        <w:rPr>
          <w:rFonts w:ascii="Century Gothic" w:hAnsi="Century Gothic" w:cs="Times New Roman"/>
          <w:b/>
          <w:sz w:val="32"/>
          <w:szCs w:val="32"/>
        </w:rPr>
      </w:pPr>
    </w:p>
    <w:p w:rsidR="00844B6A" w:rsidRDefault="002E6A40">
      <w:pPr>
        <w:jc w:val="center"/>
        <w:rPr>
          <w:rFonts w:ascii="Century Gothic" w:hAnsi="Century Gothic" w:cs="Times New Roman"/>
          <w:b/>
          <w:sz w:val="32"/>
          <w:szCs w:val="32"/>
        </w:rPr>
      </w:pPr>
      <w:r w:rsidRPr="003F38A3">
        <w:rPr>
          <w:rFonts w:ascii="Century Gothic" w:hAnsi="Century Gothic" w:cs="Times New Roman"/>
          <w:b/>
          <w:sz w:val="32"/>
          <w:szCs w:val="32"/>
        </w:rPr>
        <w:t>COIN Bulletin Application &amp; Guideline</w:t>
      </w:r>
      <w:r w:rsidR="002B1F5A">
        <w:rPr>
          <w:rFonts w:ascii="Century Gothic" w:hAnsi="Century Gothic" w:cs="Times New Roman"/>
          <w:b/>
          <w:sz w:val="32"/>
          <w:szCs w:val="32"/>
        </w:rPr>
        <w:t>s</w:t>
      </w:r>
    </w:p>
    <w:p w:rsidR="00765FAC" w:rsidRDefault="00765FAC">
      <w:pPr>
        <w:jc w:val="center"/>
        <w:rPr>
          <w:rFonts w:ascii="Century Gothic" w:hAnsi="Century Gothic" w:cs="Times New Roman"/>
          <w:b/>
          <w:sz w:val="32"/>
          <w:szCs w:val="32"/>
        </w:rPr>
      </w:pPr>
    </w:p>
    <w:p w:rsidR="00765FAC" w:rsidRPr="003F38A3" w:rsidRDefault="00765FAC">
      <w:pPr>
        <w:jc w:val="center"/>
        <w:rPr>
          <w:rFonts w:ascii="Century Gothic" w:hAnsi="Century Gothic"/>
          <w:b/>
          <w:sz w:val="28"/>
        </w:rPr>
      </w:pPr>
    </w:p>
    <w:p w:rsidR="00D4148D" w:rsidRDefault="00D4148D" w:rsidP="00CF5A98">
      <w:pPr>
        <w:jc w:val="center"/>
        <w:rPr>
          <w:rFonts w:ascii="Century Gothic" w:hAnsi="Century Gothic" w:cs="Times New Roman"/>
          <w:b/>
          <w:sz w:val="28"/>
        </w:rPr>
      </w:pPr>
    </w:p>
    <w:p w:rsidR="00CF5A98" w:rsidRPr="003F38A3" w:rsidRDefault="00765FAC" w:rsidP="00D4148D">
      <w:pPr>
        <w:ind w:left="-360" w:hanging="360"/>
        <w:jc w:val="center"/>
        <w:rPr>
          <w:rFonts w:ascii="Century Gothic" w:hAnsi="Century Gothic" w:cs="Times New Roman"/>
          <w:b/>
          <w:sz w:val="28"/>
        </w:rPr>
      </w:pPr>
      <w:r>
        <w:rPr>
          <w:rFonts w:ascii="Century Gothic" w:hAnsi="Century Gothic" w:cs="Times New Roman"/>
          <w:b/>
          <w:noProof/>
          <w:sz w:val="28"/>
        </w:rPr>
        <w:drawing>
          <wp:inline distT="0" distB="0" distL="0" distR="0">
            <wp:extent cx="5943600" cy="3631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31565"/>
                    </a:xfrm>
                    <a:prstGeom prst="rect">
                      <a:avLst/>
                    </a:prstGeom>
                    <a:noFill/>
                    <a:ln>
                      <a:noFill/>
                    </a:ln>
                  </pic:spPr>
                </pic:pic>
              </a:graphicData>
            </a:graphic>
          </wp:inline>
        </w:drawing>
      </w:r>
    </w:p>
    <w:p w:rsidR="00844B6A" w:rsidRDefault="00844B6A" w:rsidP="00844B6A">
      <w:pPr>
        <w:autoSpaceDE w:val="0"/>
        <w:autoSpaceDN w:val="0"/>
        <w:adjustRightInd w:val="0"/>
        <w:spacing w:after="0" w:line="240" w:lineRule="auto"/>
        <w:jc w:val="center"/>
        <w:outlineLvl w:val="2"/>
        <w:rPr>
          <w:rFonts w:ascii="Century Gothic" w:hAnsi="Century Gothic" w:cs="Times New Roman"/>
          <w:sz w:val="24"/>
          <w:szCs w:val="24"/>
        </w:rPr>
      </w:pPr>
    </w:p>
    <w:p w:rsidR="003F38A3" w:rsidRDefault="003F38A3" w:rsidP="00844B6A">
      <w:pPr>
        <w:autoSpaceDE w:val="0"/>
        <w:autoSpaceDN w:val="0"/>
        <w:adjustRightInd w:val="0"/>
        <w:spacing w:after="0" w:line="240" w:lineRule="auto"/>
        <w:jc w:val="center"/>
        <w:outlineLvl w:val="2"/>
        <w:rPr>
          <w:rFonts w:ascii="Century Gothic" w:hAnsi="Century Gothic" w:cs="Times New Roman"/>
          <w:sz w:val="24"/>
          <w:szCs w:val="24"/>
        </w:rPr>
      </w:pPr>
    </w:p>
    <w:p w:rsidR="00D4148D" w:rsidRDefault="00D4148D" w:rsidP="00844B6A">
      <w:pPr>
        <w:autoSpaceDE w:val="0"/>
        <w:autoSpaceDN w:val="0"/>
        <w:adjustRightInd w:val="0"/>
        <w:spacing w:after="0" w:line="240" w:lineRule="auto"/>
        <w:jc w:val="center"/>
        <w:outlineLvl w:val="2"/>
        <w:rPr>
          <w:rFonts w:ascii="Century Gothic" w:hAnsi="Century Gothic" w:cs="Times New Roman"/>
          <w:sz w:val="24"/>
          <w:szCs w:val="24"/>
        </w:rPr>
      </w:pPr>
    </w:p>
    <w:p w:rsidR="00D4148D" w:rsidRDefault="00D4148D" w:rsidP="00844B6A">
      <w:pPr>
        <w:autoSpaceDE w:val="0"/>
        <w:autoSpaceDN w:val="0"/>
        <w:adjustRightInd w:val="0"/>
        <w:spacing w:after="0" w:line="240" w:lineRule="auto"/>
        <w:jc w:val="center"/>
        <w:outlineLvl w:val="2"/>
        <w:rPr>
          <w:rFonts w:ascii="Century Gothic" w:hAnsi="Century Gothic" w:cs="Times New Roman"/>
          <w:sz w:val="24"/>
          <w:szCs w:val="24"/>
        </w:rPr>
      </w:pPr>
    </w:p>
    <w:p w:rsidR="00D4148D" w:rsidRPr="003F38A3" w:rsidRDefault="00D4148D" w:rsidP="00844B6A">
      <w:pPr>
        <w:autoSpaceDE w:val="0"/>
        <w:autoSpaceDN w:val="0"/>
        <w:adjustRightInd w:val="0"/>
        <w:spacing w:after="0" w:line="240" w:lineRule="auto"/>
        <w:jc w:val="center"/>
        <w:outlineLvl w:val="2"/>
        <w:rPr>
          <w:rFonts w:ascii="Century Gothic" w:hAnsi="Century Gothic" w:cs="Times New Roman"/>
          <w:sz w:val="24"/>
          <w:szCs w:val="24"/>
        </w:rPr>
      </w:pPr>
    </w:p>
    <w:p w:rsidR="00844B6A" w:rsidRPr="003F38A3" w:rsidRDefault="00844B6A" w:rsidP="00844B6A">
      <w:pPr>
        <w:autoSpaceDE w:val="0"/>
        <w:autoSpaceDN w:val="0"/>
        <w:adjustRightInd w:val="0"/>
        <w:spacing w:after="0" w:line="240" w:lineRule="auto"/>
        <w:jc w:val="center"/>
        <w:outlineLvl w:val="2"/>
        <w:rPr>
          <w:rFonts w:ascii="Century Gothic" w:hAnsi="Century Gothic" w:cs="Times New Roman"/>
          <w:color w:val="000000"/>
          <w:sz w:val="24"/>
          <w:szCs w:val="23"/>
        </w:rPr>
      </w:pPr>
      <w:bookmarkStart w:id="0" w:name="_GoBack"/>
      <w:bookmarkEnd w:id="0"/>
      <w:r w:rsidRPr="003F38A3">
        <w:rPr>
          <w:rFonts w:ascii="Century Gothic" w:hAnsi="Century Gothic" w:cs="Times New Roman"/>
          <w:sz w:val="24"/>
          <w:szCs w:val="24"/>
        </w:rPr>
        <w:t xml:space="preserve"> </w:t>
      </w:r>
      <w:r w:rsidRPr="003F38A3">
        <w:rPr>
          <w:rFonts w:ascii="Century Gothic" w:hAnsi="Century Gothic" w:cs="Times New Roman"/>
          <w:b/>
          <w:bCs/>
          <w:color w:val="000000"/>
          <w:sz w:val="24"/>
          <w:szCs w:val="23"/>
        </w:rPr>
        <w:t xml:space="preserve">California Department of Insurance </w:t>
      </w:r>
    </w:p>
    <w:p w:rsidR="00844B6A" w:rsidRPr="003F38A3" w:rsidRDefault="00844B6A" w:rsidP="00844B6A">
      <w:pPr>
        <w:autoSpaceDE w:val="0"/>
        <w:autoSpaceDN w:val="0"/>
        <w:adjustRightInd w:val="0"/>
        <w:spacing w:after="0" w:line="240" w:lineRule="auto"/>
        <w:jc w:val="center"/>
        <w:rPr>
          <w:rFonts w:ascii="Century Gothic" w:hAnsi="Century Gothic" w:cs="Times New Roman"/>
          <w:color w:val="000000"/>
          <w:sz w:val="24"/>
          <w:szCs w:val="23"/>
        </w:rPr>
      </w:pPr>
      <w:r w:rsidRPr="003F38A3">
        <w:rPr>
          <w:rFonts w:ascii="Century Gothic" w:hAnsi="Century Gothic" w:cs="Times New Roman"/>
          <w:b/>
          <w:bCs/>
          <w:color w:val="000000"/>
          <w:sz w:val="24"/>
          <w:szCs w:val="23"/>
        </w:rPr>
        <w:t xml:space="preserve">California Organized Investment Network </w:t>
      </w:r>
    </w:p>
    <w:p w:rsidR="00844B6A" w:rsidRDefault="00844B6A" w:rsidP="00844B6A">
      <w:pPr>
        <w:autoSpaceDE w:val="0"/>
        <w:autoSpaceDN w:val="0"/>
        <w:adjustRightInd w:val="0"/>
        <w:spacing w:after="0" w:line="240" w:lineRule="auto"/>
        <w:jc w:val="center"/>
        <w:rPr>
          <w:rFonts w:ascii="Century Gothic" w:hAnsi="Century Gothic" w:cs="Times New Roman"/>
          <w:b/>
          <w:bCs/>
          <w:color w:val="000000"/>
          <w:sz w:val="24"/>
          <w:szCs w:val="23"/>
        </w:rPr>
      </w:pPr>
      <w:r w:rsidRPr="003F38A3">
        <w:rPr>
          <w:rFonts w:ascii="Century Gothic" w:hAnsi="Century Gothic" w:cs="Times New Roman"/>
          <w:b/>
          <w:bCs/>
          <w:color w:val="000000"/>
          <w:sz w:val="24"/>
          <w:szCs w:val="23"/>
        </w:rPr>
        <w:t xml:space="preserve">300 Capitol Mall, 16th Floor Sacramento, CA 95814 </w:t>
      </w:r>
    </w:p>
    <w:p w:rsidR="00844B6A" w:rsidRPr="003F38A3" w:rsidRDefault="00230638" w:rsidP="00844B6A">
      <w:pPr>
        <w:autoSpaceDE w:val="0"/>
        <w:autoSpaceDN w:val="0"/>
        <w:adjustRightInd w:val="0"/>
        <w:spacing w:after="0" w:line="240" w:lineRule="auto"/>
        <w:jc w:val="center"/>
        <w:rPr>
          <w:rFonts w:ascii="Century Gothic" w:hAnsi="Century Gothic" w:cs="Times New Roman"/>
          <w:color w:val="000000"/>
          <w:sz w:val="24"/>
          <w:szCs w:val="23"/>
        </w:rPr>
      </w:pPr>
      <w:r>
        <w:rPr>
          <w:rFonts w:ascii="Century Gothic" w:hAnsi="Century Gothic" w:cs="Times New Roman"/>
          <w:b/>
          <w:bCs/>
          <w:color w:val="000000"/>
          <w:sz w:val="24"/>
          <w:szCs w:val="23"/>
        </w:rPr>
        <w:t xml:space="preserve">Phone: </w:t>
      </w:r>
      <w:r w:rsidR="00844B6A" w:rsidRPr="003F38A3">
        <w:rPr>
          <w:rFonts w:ascii="Century Gothic" w:hAnsi="Century Gothic" w:cs="Times New Roman"/>
          <w:b/>
          <w:bCs/>
          <w:color w:val="000000"/>
          <w:sz w:val="24"/>
          <w:szCs w:val="23"/>
        </w:rPr>
        <w:t>(916) 492-352</w:t>
      </w:r>
      <w:r>
        <w:rPr>
          <w:rFonts w:ascii="Century Gothic" w:hAnsi="Century Gothic" w:cs="Times New Roman"/>
          <w:b/>
          <w:bCs/>
          <w:color w:val="000000"/>
          <w:sz w:val="24"/>
          <w:szCs w:val="23"/>
        </w:rPr>
        <w:t>9</w:t>
      </w:r>
      <w:r w:rsidR="00844B6A" w:rsidRPr="003F38A3">
        <w:rPr>
          <w:rFonts w:ascii="Century Gothic" w:hAnsi="Century Gothic" w:cs="Times New Roman"/>
          <w:b/>
          <w:bCs/>
          <w:color w:val="000000"/>
          <w:sz w:val="24"/>
          <w:szCs w:val="23"/>
        </w:rPr>
        <w:t xml:space="preserve"> </w:t>
      </w:r>
    </w:p>
    <w:p w:rsidR="00844B6A" w:rsidRPr="003F38A3" w:rsidRDefault="00230638" w:rsidP="00844B6A">
      <w:pPr>
        <w:autoSpaceDE w:val="0"/>
        <w:autoSpaceDN w:val="0"/>
        <w:adjustRightInd w:val="0"/>
        <w:spacing w:after="0" w:line="240" w:lineRule="auto"/>
        <w:jc w:val="center"/>
        <w:rPr>
          <w:rFonts w:ascii="Century Gothic" w:hAnsi="Century Gothic" w:cs="Times New Roman"/>
          <w:color w:val="000000"/>
          <w:sz w:val="24"/>
          <w:szCs w:val="23"/>
        </w:rPr>
      </w:pPr>
      <w:r>
        <w:rPr>
          <w:rFonts w:ascii="Century Gothic" w:hAnsi="Century Gothic" w:cs="Times New Roman"/>
          <w:b/>
          <w:bCs/>
          <w:color w:val="000000"/>
          <w:sz w:val="24"/>
          <w:szCs w:val="23"/>
        </w:rPr>
        <w:t xml:space="preserve">Fax </w:t>
      </w:r>
      <w:r w:rsidR="00844B6A" w:rsidRPr="003F38A3">
        <w:rPr>
          <w:rFonts w:ascii="Century Gothic" w:hAnsi="Century Gothic" w:cs="Times New Roman"/>
          <w:b/>
          <w:bCs/>
          <w:color w:val="000000"/>
          <w:sz w:val="24"/>
          <w:szCs w:val="23"/>
        </w:rPr>
        <w:t xml:space="preserve">(916) 323-1944 FAX </w:t>
      </w:r>
    </w:p>
    <w:p w:rsidR="00CF5A98" w:rsidRPr="003F38A3" w:rsidRDefault="00EC1772" w:rsidP="00CF5A98">
      <w:pPr>
        <w:jc w:val="center"/>
        <w:rPr>
          <w:rFonts w:ascii="Century Gothic" w:hAnsi="Century Gothic" w:cs="Times New Roman"/>
          <w:b/>
          <w:sz w:val="32"/>
        </w:rPr>
      </w:pPr>
      <w:r>
        <w:rPr>
          <w:rFonts w:ascii="Century Gothic" w:hAnsi="Century Gothic" w:cs="Times New Roman"/>
          <w:b/>
          <w:bCs/>
          <w:sz w:val="24"/>
          <w:szCs w:val="23"/>
        </w:rPr>
        <w:t>coin@i</w:t>
      </w:r>
      <w:r w:rsidR="00230638">
        <w:rPr>
          <w:rFonts w:ascii="Century Gothic" w:hAnsi="Century Gothic" w:cs="Times New Roman"/>
          <w:b/>
          <w:bCs/>
          <w:sz w:val="24"/>
          <w:szCs w:val="23"/>
        </w:rPr>
        <w:t>nsurance.ca.gov</w:t>
      </w:r>
    </w:p>
    <w:p w:rsidR="00BC696D" w:rsidRPr="003F38A3" w:rsidRDefault="003F38A3" w:rsidP="00844B6A">
      <w:pPr>
        <w:jc w:val="center"/>
        <w:rPr>
          <w:rFonts w:ascii="Century Gothic" w:hAnsi="Century Gothic" w:cs="Times New Roman"/>
          <w:b/>
          <w:sz w:val="28"/>
        </w:rPr>
      </w:pPr>
      <w:r>
        <w:rPr>
          <w:rFonts w:ascii="Century Gothic" w:hAnsi="Century Gothic" w:cs="Times New Roman"/>
          <w:b/>
          <w:sz w:val="28"/>
        </w:rPr>
        <w:t>Table of C</w:t>
      </w:r>
      <w:r w:rsidR="00BC696D" w:rsidRPr="003F38A3">
        <w:rPr>
          <w:rFonts w:ascii="Century Gothic" w:hAnsi="Century Gothic" w:cs="Times New Roman"/>
          <w:b/>
          <w:sz w:val="28"/>
        </w:rPr>
        <w:t>ontents</w:t>
      </w:r>
    </w:p>
    <w:p w:rsidR="00844B6A" w:rsidRPr="003F38A3" w:rsidRDefault="00844B6A" w:rsidP="00BA609F">
      <w:pPr>
        <w:rPr>
          <w:rFonts w:ascii="Century Gothic" w:hAnsi="Century Gothic" w:cs="Times New Roman"/>
          <w:b/>
          <w:sz w:val="24"/>
        </w:rPr>
      </w:pPr>
    </w:p>
    <w:p w:rsidR="00555E19" w:rsidRPr="00555E19" w:rsidRDefault="00555E19" w:rsidP="00555E19">
      <w:pPr>
        <w:pStyle w:val="TOC1"/>
        <w:numPr>
          <w:ilvl w:val="0"/>
          <w:numId w:val="16"/>
        </w:numPr>
        <w:ind w:left="360" w:hanging="360"/>
        <w:rPr>
          <w:b/>
        </w:rPr>
      </w:pPr>
      <w:r w:rsidRPr="00555E19">
        <w:rPr>
          <w:b/>
        </w:rPr>
        <w:t>INTRODUCTION</w:t>
      </w:r>
    </w:p>
    <w:p w:rsidR="00774924" w:rsidRPr="003F38A3" w:rsidRDefault="00555E19" w:rsidP="00555E19">
      <w:pPr>
        <w:pStyle w:val="TOC1"/>
        <w:rPr>
          <w:noProof/>
        </w:rPr>
      </w:pPr>
      <w:r>
        <w:rPr>
          <w:b/>
        </w:rPr>
        <w:tab/>
      </w:r>
      <w:r w:rsidR="00774924" w:rsidRPr="003F38A3">
        <w:rPr>
          <w:b/>
        </w:rPr>
        <w:fldChar w:fldCharType="begin"/>
      </w:r>
      <w:r w:rsidR="00774924" w:rsidRPr="003F38A3">
        <w:rPr>
          <w:b/>
        </w:rPr>
        <w:instrText xml:space="preserve"> TOC \o "1-1" \h \z \u </w:instrText>
      </w:r>
      <w:r w:rsidR="00774924" w:rsidRPr="003F38A3">
        <w:rPr>
          <w:b/>
        </w:rPr>
        <w:fldChar w:fldCharType="separate"/>
      </w:r>
      <w:hyperlink w:anchor="_Toc371580009" w:history="1">
        <w:r w:rsidR="00774924" w:rsidRPr="003F38A3">
          <w:rPr>
            <w:rStyle w:val="Hyperlink"/>
            <w:rFonts w:cs="Times New Roman"/>
            <w:noProof/>
          </w:rPr>
          <w:t>MISSION STATEMENT</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_Toc371580009 \h </w:instrText>
        </w:r>
        <w:r w:rsidR="00774924" w:rsidRPr="003F38A3">
          <w:rPr>
            <w:noProof/>
            <w:webHidden/>
          </w:rPr>
        </w:r>
        <w:r w:rsidR="00774924" w:rsidRPr="003F38A3">
          <w:rPr>
            <w:noProof/>
            <w:webHidden/>
          </w:rPr>
          <w:fldChar w:fldCharType="separate"/>
        </w:r>
        <w:r w:rsidR="00BF77AF">
          <w:rPr>
            <w:noProof/>
            <w:webHidden/>
          </w:rPr>
          <w:t>3</w:t>
        </w:r>
        <w:r w:rsidR="00774924" w:rsidRPr="003F38A3">
          <w:rPr>
            <w:noProof/>
            <w:webHidden/>
          </w:rPr>
          <w:fldChar w:fldCharType="end"/>
        </w:r>
      </w:hyperlink>
    </w:p>
    <w:p w:rsidR="00774924" w:rsidRPr="003F38A3" w:rsidRDefault="00555E19" w:rsidP="00555E19">
      <w:pPr>
        <w:pStyle w:val="TOC1"/>
        <w:rPr>
          <w:noProof/>
        </w:rPr>
      </w:pPr>
      <w:r>
        <w:rPr>
          <w:noProof/>
        </w:rPr>
        <w:tab/>
      </w:r>
      <w:hyperlink w:anchor="_Toc371580010" w:history="1">
        <w:r w:rsidR="00774924" w:rsidRPr="003F38A3">
          <w:rPr>
            <w:rStyle w:val="Hyperlink"/>
            <w:rFonts w:cs="Times New Roman"/>
            <w:noProof/>
          </w:rPr>
          <w:t>BACKGROUND OF COIN AND HIGH IMPACT INVESTMENT BULLETIN</w:t>
        </w:r>
        <w:r w:rsidR="00731522">
          <w:rPr>
            <w:rStyle w:val="Hyperlink"/>
            <w:rFonts w:cs="Times New Roman"/>
            <w:noProof/>
          </w:rPr>
          <w:t>S</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_Toc371580010 \h </w:instrText>
        </w:r>
        <w:r w:rsidR="00774924" w:rsidRPr="003F38A3">
          <w:rPr>
            <w:noProof/>
            <w:webHidden/>
          </w:rPr>
        </w:r>
        <w:r w:rsidR="00774924" w:rsidRPr="003F38A3">
          <w:rPr>
            <w:noProof/>
            <w:webHidden/>
          </w:rPr>
          <w:fldChar w:fldCharType="separate"/>
        </w:r>
        <w:r w:rsidR="00BF77AF">
          <w:rPr>
            <w:noProof/>
            <w:webHidden/>
          </w:rPr>
          <w:t>3</w:t>
        </w:r>
        <w:r w:rsidR="00774924" w:rsidRPr="003F38A3">
          <w:rPr>
            <w:noProof/>
            <w:webHidden/>
          </w:rPr>
          <w:fldChar w:fldCharType="end"/>
        </w:r>
      </w:hyperlink>
    </w:p>
    <w:p w:rsidR="00774924" w:rsidRPr="003F38A3" w:rsidRDefault="00555E19" w:rsidP="00555E19">
      <w:pPr>
        <w:pStyle w:val="TOC1"/>
        <w:rPr>
          <w:noProof/>
        </w:rPr>
      </w:pPr>
      <w:r>
        <w:rPr>
          <w:noProof/>
        </w:rPr>
        <w:tab/>
      </w:r>
      <w:hyperlink w:anchor="_Toc371580011" w:history="1">
        <w:r w:rsidR="00774924" w:rsidRPr="003F38A3">
          <w:rPr>
            <w:rStyle w:val="Hyperlink"/>
            <w:rFonts w:cs="Times New Roman"/>
            <w:noProof/>
          </w:rPr>
          <w:t>BENEFIT</w:t>
        </w:r>
        <w:r w:rsidR="00CE44E3">
          <w:rPr>
            <w:rStyle w:val="Hyperlink"/>
            <w:rFonts w:cs="Times New Roman"/>
            <w:noProof/>
          </w:rPr>
          <w:t>S</w:t>
        </w:r>
        <w:r w:rsidR="00774924" w:rsidRPr="003F38A3">
          <w:rPr>
            <w:rStyle w:val="Hyperlink"/>
            <w:rFonts w:cs="Times New Roman"/>
            <w:noProof/>
          </w:rPr>
          <w:t xml:space="preserve"> OF HIGH IMPACT INVESTMENT BULLETIN</w:t>
        </w:r>
        <w:r w:rsidR="00BD1508">
          <w:rPr>
            <w:rStyle w:val="Hyperlink"/>
            <w:rFonts w:cs="Times New Roman"/>
            <w:noProof/>
          </w:rPr>
          <w:t>S</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_Toc371580011 \h </w:instrText>
        </w:r>
        <w:r w:rsidR="00774924" w:rsidRPr="003F38A3">
          <w:rPr>
            <w:noProof/>
            <w:webHidden/>
          </w:rPr>
        </w:r>
        <w:r w:rsidR="00774924" w:rsidRPr="003F38A3">
          <w:rPr>
            <w:noProof/>
            <w:webHidden/>
          </w:rPr>
          <w:fldChar w:fldCharType="separate"/>
        </w:r>
        <w:r w:rsidR="00BF77AF">
          <w:rPr>
            <w:noProof/>
            <w:webHidden/>
          </w:rPr>
          <w:t>4</w:t>
        </w:r>
        <w:r w:rsidR="00774924" w:rsidRPr="003F38A3">
          <w:rPr>
            <w:noProof/>
            <w:webHidden/>
          </w:rPr>
          <w:fldChar w:fldCharType="end"/>
        </w:r>
      </w:hyperlink>
    </w:p>
    <w:p w:rsidR="00FA7698" w:rsidRPr="00FA7698" w:rsidRDefault="00555E19" w:rsidP="00FA7698">
      <w:pPr>
        <w:pStyle w:val="TOC1"/>
        <w:rPr>
          <w:noProof/>
        </w:rPr>
      </w:pPr>
      <w:r>
        <w:rPr>
          <w:noProof/>
        </w:rPr>
        <w:tab/>
      </w:r>
      <w:hyperlink w:anchor="_Toc371580012" w:history="1">
        <w:r w:rsidR="00774924" w:rsidRPr="003F38A3">
          <w:rPr>
            <w:rStyle w:val="Hyperlink"/>
            <w:rFonts w:cs="Times New Roman"/>
            <w:noProof/>
          </w:rPr>
          <w:t>COIN’S MAJOR DUTIES</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_Toc371580012 \h </w:instrText>
        </w:r>
        <w:r w:rsidR="00774924" w:rsidRPr="003F38A3">
          <w:rPr>
            <w:noProof/>
            <w:webHidden/>
          </w:rPr>
        </w:r>
        <w:r w:rsidR="00774924" w:rsidRPr="003F38A3">
          <w:rPr>
            <w:noProof/>
            <w:webHidden/>
          </w:rPr>
          <w:fldChar w:fldCharType="separate"/>
        </w:r>
        <w:r w:rsidR="00BF77AF">
          <w:rPr>
            <w:noProof/>
            <w:webHidden/>
          </w:rPr>
          <w:t>4</w:t>
        </w:r>
        <w:r w:rsidR="00774924" w:rsidRPr="003F38A3">
          <w:rPr>
            <w:noProof/>
            <w:webHidden/>
          </w:rPr>
          <w:fldChar w:fldCharType="end"/>
        </w:r>
      </w:hyperlink>
    </w:p>
    <w:p w:rsidR="00555E19" w:rsidRPr="00555E19" w:rsidRDefault="00555E19" w:rsidP="00555E19">
      <w:pPr>
        <w:pStyle w:val="TOC1"/>
        <w:ind w:left="360" w:hanging="360"/>
        <w:rPr>
          <w:b/>
          <w:noProof/>
        </w:rPr>
      </w:pPr>
      <w:r>
        <w:rPr>
          <w:b/>
          <w:noProof/>
        </w:rPr>
        <w:t>II.</w:t>
      </w:r>
      <w:r>
        <w:rPr>
          <w:b/>
          <w:noProof/>
        </w:rPr>
        <w:tab/>
      </w:r>
      <w:r w:rsidRPr="00555E19">
        <w:rPr>
          <w:b/>
          <w:noProof/>
        </w:rPr>
        <w:t>APPLICATION</w:t>
      </w:r>
      <w:r w:rsidR="00281A95">
        <w:rPr>
          <w:b/>
          <w:noProof/>
        </w:rPr>
        <w:t xml:space="preserve"> </w:t>
      </w:r>
      <w:r w:rsidR="00CE5729">
        <w:rPr>
          <w:b/>
          <w:noProof/>
        </w:rPr>
        <w:t>PROCEDURES</w:t>
      </w:r>
    </w:p>
    <w:p w:rsidR="00774924" w:rsidRPr="003F38A3" w:rsidRDefault="00230638" w:rsidP="00555E19">
      <w:pPr>
        <w:pStyle w:val="TOC1"/>
        <w:rPr>
          <w:noProof/>
        </w:rPr>
      </w:pPr>
      <w:r>
        <w:fldChar w:fldCharType="begin"/>
      </w:r>
      <w:r>
        <w:rPr>
          <w:noProof/>
        </w:rPr>
        <w:instrText xml:space="preserve"> REF _Ref387834402 \h </w:instrText>
      </w:r>
      <w:r>
        <w:fldChar w:fldCharType="separate"/>
      </w:r>
      <w:r w:rsidR="00BF77AF" w:rsidRPr="004831C6">
        <w:t>INVESTMENT POLICY STATEMENT</w:t>
      </w:r>
      <w:r>
        <w:fldChar w:fldCharType="end"/>
      </w:r>
      <w:r w:rsidR="00555E19">
        <w:rPr>
          <w:noProof/>
        </w:rPr>
        <w:tab/>
      </w:r>
      <w:r>
        <w:rPr>
          <w:noProof/>
        </w:rPr>
        <w:t>6</w:t>
      </w:r>
    </w:p>
    <w:p w:rsidR="00774924" w:rsidRPr="003F38A3" w:rsidRDefault="00281A95" w:rsidP="00555E19">
      <w:pPr>
        <w:pStyle w:val="TOC1"/>
        <w:rPr>
          <w:noProof/>
        </w:rPr>
      </w:pPr>
      <w:r>
        <w:rPr>
          <w:noProof/>
        </w:rPr>
        <w:tab/>
        <w:t xml:space="preserve">APPROVED </w:t>
      </w:r>
      <w:r w:rsidR="00CE5729">
        <w:rPr>
          <w:noProof/>
        </w:rPr>
        <w:t>INVESTMENTS</w:t>
      </w:r>
      <w:r w:rsidRPr="00281A95">
        <w:rPr>
          <w:noProof/>
          <w:webHidden/>
        </w:rPr>
        <w:tab/>
      </w:r>
      <w:r w:rsidR="00CE5729">
        <w:rPr>
          <w:noProof/>
          <w:webHidden/>
        </w:rPr>
        <w:t>6</w:t>
      </w:r>
      <w:r w:rsidR="00555E19">
        <w:rPr>
          <w:noProof/>
        </w:rPr>
        <w:tab/>
      </w:r>
      <w:hyperlink w:anchor="_Toc371580015" w:history="1">
        <w:r>
          <w:rPr>
            <w:rStyle w:val="Hyperlink"/>
            <w:rFonts w:cs="Times New Roman"/>
            <w:noProof/>
          </w:rPr>
          <w:t>TYPES AND AMOUNTS OF INVESTMENTS</w:t>
        </w:r>
        <w:r w:rsidRPr="003F38A3">
          <w:rPr>
            <w:noProof/>
            <w:webHidden/>
          </w:rPr>
          <w:tab/>
        </w:r>
        <w:r w:rsidR="00CE5729">
          <w:rPr>
            <w:noProof/>
            <w:webHidden/>
          </w:rPr>
          <w:t>6</w:t>
        </w:r>
      </w:hyperlink>
    </w:p>
    <w:p w:rsidR="00281A95" w:rsidRDefault="00281A95" w:rsidP="00281A95">
      <w:pPr>
        <w:pStyle w:val="TOC1"/>
        <w:ind w:left="360" w:hanging="360"/>
        <w:rPr>
          <w:b/>
          <w:noProof/>
        </w:rPr>
      </w:pPr>
      <w:r>
        <w:rPr>
          <w:noProof/>
        </w:rPr>
        <w:tab/>
      </w:r>
      <w:r>
        <w:rPr>
          <w:noProof/>
        </w:rPr>
        <w:tab/>
      </w:r>
      <w:hyperlink w:anchor="_Toc371580015" w:history="1">
        <w:r>
          <w:rPr>
            <w:rStyle w:val="Hyperlink"/>
            <w:rFonts w:cs="Times New Roman"/>
            <w:noProof/>
          </w:rPr>
          <w:t>THREE GUIDING PRINCIPLES</w:t>
        </w:r>
        <w:r w:rsidRPr="003F38A3">
          <w:rPr>
            <w:noProof/>
            <w:webHidden/>
          </w:rPr>
          <w:tab/>
        </w:r>
        <w:r w:rsidR="00CE5729">
          <w:rPr>
            <w:noProof/>
            <w:webHidden/>
          </w:rPr>
          <w:t>7</w:t>
        </w:r>
      </w:hyperlink>
    </w:p>
    <w:p w:rsidR="00281A95" w:rsidRPr="00555E19" w:rsidRDefault="00281A95" w:rsidP="00281A95">
      <w:pPr>
        <w:pStyle w:val="TOC1"/>
        <w:ind w:left="360" w:hanging="360"/>
        <w:rPr>
          <w:b/>
          <w:noProof/>
        </w:rPr>
      </w:pPr>
      <w:r>
        <w:rPr>
          <w:b/>
          <w:noProof/>
        </w:rPr>
        <w:t>IV.</w:t>
      </w:r>
      <w:r>
        <w:rPr>
          <w:b/>
          <w:noProof/>
        </w:rPr>
        <w:tab/>
        <w:t>BULLETIN APPLICATION QUESTIONNAIRE</w:t>
      </w:r>
    </w:p>
    <w:p w:rsidR="00555E19" w:rsidRPr="00555E19" w:rsidRDefault="00555E19" w:rsidP="00555E19">
      <w:pPr>
        <w:pStyle w:val="TOC1"/>
        <w:ind w:left="360" w:hanging="360"/>
        <w:rPr>
          <w:b/>
          <w:noProof/>
        </w:rPr>
      </w:pPr>
      <w:r>
        <w:rPr>
          <w:b/>
          <w:noProof/>
        </w:rPr>
        <w:t>III.</w:t>
      </w:r>
      <w:r>
        <w:rPr>
          <w:b/>
          <w:noProof/>
        </w:rPr>
        <w:tab/>
      </w:r>
      <w:r w:rsidRPr="00555E19">
        <w:rPr>
          <w:b/>
          <w:noProof/>
        </w:rPr>
        <w:t>APPENDICES</w:t>
      </w:r>
    </w:p>
    <w:p w:rsidR="00774924" w:rsidRPr="003F38A3" w:rsidRDefault="00555E19" w:rsidP="00555E19">
      <w:pPr>
        <w:pStyle w:val="TOC1"/>
        <w:rPr>
          <w:noProof/>
        </w:rPr>
      </w:pPr>
      <w:r>
        <w:rPr>
          <w:noProof/>
        </w:rPr>
        <w:tab/>
      </w:r>
      <w:hyperlink w:anchor="_Toc371580016" w:history="1">
        <w:r w:rsidR="00774924" w:rsidRPr="003F38A3">
          <w:rPr>
            <w:rStyle w:val="Hyperlink"/>
            <w:rFonts w:cs="Times New Roman"/>
            <w:noProof/>
          </w:rPr>
          <w:t>APPENDIX I</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_Toc371580016 \h </w:instrText>
        </w:r>
        <w:r w:rsidR="00774924" w:rsidRPr="003F38A3">
          <w:rPr>
            <w:noProof/>
            <w:webHidden/>
          </w:rPr>
        </w:r>
        <w:r w:rsidR="00774924" w:rsidRPr="003F38A3">
          <w:rPr>
            <w:noProof/>
            <w:webHidden/>
          </w:rPr>
          <w:fldChar w:fldCharType="separate"/>
        </w:r>
        <w:r w:rsidR="00BF77AF">
          <w:rPr>
            <w:noProof/>
            <w:webHidden/>
          </w:rPr>
          <w:t>18</w:t>
        </w:r>
        <w:r w:rsidR="00774924" w:rsidRPr="003F38A3">
          <w:rPr>
            <w:noProof/>
            <w:webHidden/>
          </w:rPr>
          <w:fldChar w:fldCharType="end"/>
        </w:r>
      </w:hyperlink>
    </w:p>
    <w:p w:rsidR="00774924" w:rsidRPr="003F38A3" w:rsidRDefault="00555E19" w:rsidP="00555E19">
      <w:pPr>
        <w:pStyle w:val="TOC1"/>
        <w:rPr>
          <w:noProof/>
        </w:rPr>
      </w:pPr>
      <w:r>
        <w:rPr>
          <w:noProof/>
        </w:rPr>
        <w:tab/>
      </w:r>
      <w:hyperlink w:anchor="_Toc371580017" w:history="1">
        <w:r w:rsidR="00774924" w:rsidRPr="003F38A3">
          <w:rPr>
            <w:rStyle w:val="Hyperlink"/>
            <w:rFonts w:cs="Times New Roman"/>
            <w:noProof/>
          </w:rPr>
          <w:t>APPENDIX II</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_Toc371580017 \h </w:instrText>
        </w:r>
        <w:r w:rsidR="00774924" w:rsidRPr="003F38A3">
          <w:rPr>
            <w:noProof/>
            <w:webHidden/>
          </w:rPr>
        </w:r>
        <w:r w:rsidR="00774924" w:rsidRPr="003F38A3">
          <w:rPr>
            <w:noProof/>
            <w:webHidden/>
          </w:rPr>
          <w:fldChar w:fldCharType="separate"/>
        </w:r>
        <w:r w:rsidR="00BF77AF">
          <w:rPr>
            <w:noProof/>
            <w:webHidden/>
          </w:rPr>
          <w:t>21</w:t>
        </w:r>
        <w:r w:rsidR="00774924" w:rsidRPr="003F38A3">
          <w:rPr>
            <w:noProof/>
            <w:webHidden/>
          </w:rPr>
          <w:fldChar w:fldCharType="end"/>
        </w:r>
      </w:hyperlink>
    </w:p>
    <w:p w:rsidR="007A117B" w:rsidRPr="003F38A3" w:rsidRDefault="00555E19" w:rsidP="007A117B">
      <w:pPr>
        <w:pStyle w:val="TOC1"/>
        <w:rPr>
          <w:noProof/>
        </w:rPr>
      </w:pPr>
      <w:r>
        <w:rPr>
          <w:noProof/>
        </w:rPr>
        <w:tab/>
      </w:r>
      <w:hyperlink w:anchor="_Toc371580018" w:history="1">
        <w:r w:rsidR="00774924" w:rsidRPr="003F38A3">
          <w:rPr>
            <w:rStyle w:val="Hyperlink"/>
            <w:rFonts w:cs="Times New Roman"/>
            <w:noProof/>
          </w:rPr>
          <w:t>APPENDIX III</w:t>
        </w:r>
        <w:r w:rsidR="00774924" w:rsidRPr="003F38A3">
          <w:rPr>
            <w:noProof/>
            <w:webHidden/>
          </w:rPr>
          <w:tab/>
        </w:r>
        <w:r w:rsidR="00774924" w:rsidRPr="003F38A3">
          <w:rPr>
            <w:noProof/>
            <w:webHidden/>
          </w:rPr>
          <w:fldChar w:fldCharType="begin"/>
        </w:r>
        <w:r w:rsidR="00774924" w:rsidRPr="003F38A3">
          <w:rPr>
            <w:noProof/>
            <w:webHidden/>
          </w:rPr>
          <w:instrText xml:space="preserve"> PAGEREF _Toc371580018 \h </w:instrText>
        </w:r>
        <w:r w:rsidR="00774924" w:rsidRPr="003F38A3">
          <w:rPr>
            <w:noProof/>
            <w:webHidden/>
          </w:rPr>
        </w:r>
        <w:r w:rsidR="00774924" w:rsidRPr="003F38A3">
          <w:rPr>
            <w:noProof/>
            <w:webHidden/>
          </w:rPr>
          <w:fldChar w:fldCharType="separate"/>
        </w:r>
        <w:r w:rsidR="00BF77AF">
          <w:rPr>
            <w:noProof/>
            <w:webHidden/>
          </w:rPr>
          <w:t>24</w:t>
        </w:r>
        <w:r w:rsidR="00774924" w:rsidRPr="003F38A3">
          <w:rPr>
            <w:noProof/>
            <w:webHidden/>
          </w:rPr>
          <w:fldChar w:fldCharType="end"/>
        </w:r>
      </w:hyperlink>
      <w:r w:rsidR="007A117B">
        <w:rPr>
          <w:noProof/>
        </w:rPr>
        <w:tab/>
      </w:r>
      <w:hyperlink w:anchor="_Toc371580018" w:history="1">
        <w:r w:rsidR="007A117B" w:rsidRPr="003F38A3">
          <w:rPr>
            <w:rStyle w:val="Hyperlink"/>
            <w:rFonts w:cs="Times New Roman"/>
            <w:noProof/>
          </w:rPr>
          <w:t>APPENDIX I</w:t>
        </w:r>
        <w:r w:rsidR="007A117B">
          <w:rPr>
            <w:rStyle w:val="Hyperlink"/>
            <w:rFonts w:cs="Times New Roman"/>
            <w:noProof/>
          </w:rPr>
          <w:t>V</w:t>
        </w:r>
        <w:r w:rsidR="007A117B" w:rsidRPr="003F38A3">
          <w:rPr>
            <w:noProof/>
            <w:webHidden/>
          </w:rPr>
          <w:tab/>
        </w:r>
        <w:r w:rsidR="007A117B" w:rsidRPr="003F38A3">
          <w:rPr>
            <w:noProof/>
            <w:webHidden/>
          </w:rPr>
          <w:fldChar w:fldCharType="begin"/>
        </w:r>
        <w:r w:rsidR="007A117B" w:rsidRPr="003F38A3">
          <w:rPr>
            <w:noProof/>
            <w:webHidden/>
          </w:rPr>
          <w:instrText xml:space="preserve"> PAGEREF _Toc371580018 \h </w:instrText>
        </w:r>
        <w:r w:rsidR="007A117B" w:rsidRPr="003F38A3">
          <w:rPr>
            <w:noProof/>
            <w:webHidden/>
          </w:rPr>
        </w:r>
        <w:r w:rsidR="007A117B" w:rsidRPr="003F38A3">
          <w:rPr>
            <w:noProof/>
            <w:webHidden/>
          </w:rPr>
          <w:fldChar w:fldCharType="separate"/>
        </w:r>
        <w:r w:rsidR="00BF77AF">
          <w:rPr>
            <w:noProof/>
            <w:webHidden/>
          </w:rPr>
          <w:t>24</w:t>
        </w:r>
        <w:r w:rsidR="007A117B" w:rsidRPr="003F38A3">
          <w:rPr>
            <w:noProof/>
            <w:webHidden/>
          </w:rPr>
          <w:fldChar w:fldCharType="end"/>
        </w:r>
      </w:hyperlink>
    </w:p>
    <w:p w:rsidR="00774924" w:rsidRPr="003F38A3" w:rsidRDefault="00774924" w:rsidP="00555E19">
      <w:pPr>
        <w:pStyle w:val="TOC1"/>
        <w:rPr>
          <w:noProof/>
        </w:rPr>
      </w:pPr>
    </w:p>
    <w:p w:rsidR="00844B6A" w:rsidRPr="003F38A3" w:rsidRDefault="00774924" w:rsidP="00844B6A">
      <w:pPr>
        <w:jc w:val="center"/>
        <w:rPr>
          <w:rFonts w:ascii="Century Gothic" w:hAnsi="Century Gothic" w:cs="Times New Roman"/>
          <w:b/>
          <w:sz w:val="24"/>
        </w:rPr>
      </w:pPr>
      <w:r w:rsidRPr="003F38A3">
        <w:rPr>
          <w:rFonts w:ascii="Century Gothic" w:hAnsi="Century Gothic" w:cs="Times New Roman"/>
          <w:b/>
          <w:sz w:val="24"/>
        </w:rPr>
        <w:fldChar w:fldCharType="end"/>
      </w:r>
    </w:p>
    <w:p w:rsidR="00844B6A" w:rsidRPr="003F38A3" w:rsidRDefault="00844B6A" w:rsidP="00844B6A">
      <w:pPr>
        <w:jc w:val="center"/>
        <w:rPr>
          <w:rFonts w:ascii="Century Gothic" w:hAnsi="Century Gothic" w:cs="Times New Roman"/>
          <w:b/>
          <w:sz w:val="24"/>
        </w:rPr>
      </w:pPr>
    </w:p>
    <w:p w:rsidR="00844B6A" w:rsidRPr="003F38A3" w:rsidRDefault="00844B6A" w:rsidP="00844B6A">
      <w:pPr>
        <w:jc w:val="center"/>
        <w:rPr>
          <w:rFonts w:ascii="Century Gothic" w:hAnsi="Century Gothic" w:cs="Times New Roman"/>
          <w:b/>
          <w:sz w:val="24"/>
        </w:rPr>
      </w:pPr>
    </w:p>
    <w:p w:rsidR="00844B6A" w:rsidRPr="003F38A3" w:rsidRDefault="00844B6A" w:rsidP="00844B6A">
      <w:pPr>
        <w:jc w:val="center"/>
        <w:rPr>
          <w:rFonts w:ascii="Century Gothic" w:hAnsi="Century Gothic" w:cs="Times New Roman"/>
          <w:b/>
          <w:sz w:val="24"/>
        </w:rPr>
      </w:pPr>
    </w:p>
    <w:p w:rsidR="00844B6A" w:rsidRPr="003F38A3" w:rsidRDefault="00844B6A" w:rsidP="00844B6A">
      <w:pPr>
        <w:jc w:val="center"/>
        <w:rPr>
          <w:rFonts w:ascii="Century Gothic" w:hAnsi="Century Gothic" w:cs="Times New Roman"/>
          <w:b/>
          <w:sz w:val="24"/>
        </w:rPr>
      </w:pPr>
    </w:p>
    <w:p w:rsidR="00844B6A" w:rsidRDefault="00844B6A" w:rsidP="00844B6A">
      <w:pPr>
        <w:jc w:val="center"/>
        <w:rPr>
          <w:rFonts w:ascii="Century Gothic" w:hAnsi="Century Gothic" w:cs="Times New Roman"/>
          <w:b/>
          <w:sz w:val="24"/>
        </w:rPr>
      </w:pPr>
    </w:p>
    <w:p w:rsidR="00EB7BDF" w:rsidRPr="003F38A3" w:rsidRDefault="00EB7BDF" w:rsidP="00844B6A">
      <w:pPr>
        <w:jc w:val="center"/>
        <w:rPr>
          <w:rFonts w:ascii="Century Gothic" w:hAnsi="Century Gothic" w:cs="Times New Roman"/>
          <w:b/>
          <w:sz w:val="24"/>
        </w:rPr>
      </w:pPr>
    </w:p>
    <w:p w:rsidR="00844B6A" w:rsidRPr="003F38A3" w:rsidRDefault="00844B6A" w:rsidP="005F3C42">
      <w:pPr>
        <w:rPr>
          <w:rFonts w:ascii="Century Gothic" w:hAnsi="Century Gothic" w:cs="Times New Roman"/>
          <w:b/>
          <w:sz w:val="24"/>
        </w:rPr>
      </w:pPr>
    </w:p>
    <w:p w:rsidR="00CF5A98" w:rsidRPr="005F3C42" w:rsidRDefault="00555E19" w:rsidP="005F3C42">
      <w:pPr>
        <w:pStyle w:val="ListParagraph"/>
        <w:numPr>
          <w:ilvl w:val="0"/>
          <w:numId w:val="18"/>
        </w:numPr>
        <w:spacing w:after="240"/>
        <w:ind w:left="720"/>
        <w:rPr>
          <w:rFonts w:ascii="Century Gothic" w:hAnsi="Century Gothic" w:cs="Times New Roman"/>
          <w:b/>
          <w:sz w:val="28"/>
          <w:szCs w:val="28"/>
        </w:rPr>
      </w:pPr>
      <w:r w:rsidRPr="005F3C42">
        <w:rPr>
          <w:rFonts w:ascii="Century Gothic" w:hAnsi="Century Gothic" w:cs="Times New Roman"/>
          <w:b/>
          <w:sz w:val="28"/>
          <w:szCs w:val="28"/>
        </w:rPr>
        <w:t>INTRODUCTION</w:t>
      </w:r>
    </w:p>
    <w:p w:rsidR="00844B6A" w:rsidRPr="005F3C42" w:rsidRDefault="00CF5A98" w:rsidP="005F3C42">
      <w:pPr>
        <w:pStyle w:val="Heading1"/>
        <w:spacing w:before="0" w:after="240"/>
        <w:jc w:val="left"/>
        <w:rPr>
          <w:rFonts w:ascii="Century Gothic" w:hAnsi="Century Gothic"/>
          <w:sz w:val="24"/>
          <w:szCs w:val="24"/>
        </w:rPr>
      </w:pPr>
      <w:bookmarkStart w:id="1" w:name="_Toc371580009"/>
      <w:r w:rsidRPr="005F3C42">
        <w:rPr>
          <w:rFonts w:ascii="Century Gothic" w:hAnsi="Century Gothic"/>
          <w:sz w:val="24"/>
          <w:szCs w:val="24"/>
        </w:rPr>
        <w:t>MISSION STATEMENT</w:t>
      </w:r>
      <w:bookmarkEnd w:id="1"/>
    </w:p>
    <w:p w:rsidR="00CF5A98" w:rsidRPr="005F3C42" w:rsidRDefault="00CF5A98" w:rsidP="003F38A3">
      <w:pPr>
        <w:rPr>
          <w:rFonts w:ascii="Century Gothic" w:hAnsi="Century Gothic"/>
          <w:sz w:val="24"/>
          <w:szCs w:val="24"/>
        </w:rPr>
      </w:pPr>
      <w:r w:rsidRPr="00FA7698">
        <w:rPr>
          <w:rFonts w:ascii="Century Gothic" w:hAnsi="Century Gothic" w:cs="Times New Roman"/>
          <w:sz w:val="24"/>
          <w:szCs w:val="24"/>
        </w:rPr>
        <w:lastRenderedPageBreak/>
        <w:t xml:space="preserve">To guide insurers on making safe and sound investments that yield environmental benefits throughout California </w:t>
      </w:r>
      <w:r w:rsidRPr="008A2E03">
        <w:rPr>
          <w:rFonts w:ascii="Century Gothic" w:hAnsi="Century Gothic" w:cs="Times New Roman"/>
          <w:sz w:val="24"/>
          <w:szCs w:val="24"/>
        </w:rPr>
        <w:t>and/or social benefits within the State's underserved communities.</w:t>
      </w:r>
    </w:p>
    <w:p w:rsidR="00CF5A98" w:rsidRPr="005F3C42" w:rsidRDefault="008745A9" w:rsidP="005F3C42">
      <w:pPr>
        <w:pStyle w:val="Heading1"/>
        <w:jc w:val="left"/>
        <w:rPr>
          <w:rFonts w:ascii="Century Gothic" w:hAnsi="Century Gothic"/>
          <w:sz w:val="24"/>
          <w:szCs w:val="24"/>
        </w:rPr>
      </w:pPr>
      <w:bookmarkStart w:id="2" w:name="_Toc371580010"/>
      <w:r w:rsidRPr="005F3C42">
        <w:rPr>
          <w:rFonts w:ascii="Century Gothic" w:hAnsi="Century Gothic"/>
          <w:sz w:val="24"/>
          <w:szCs w:val="24"/>
        </w:rPr>
        <w:t>BACKGROUND</w:t>
      </w:r>
      <w:r w:rsidR="00CF5A98" w:rsidRPr="005F3C42">
        <w:rPr>
          <w:rFonts w:ascii="Century Gothic" w:hAnsi="Century Gothic"/>
          <w:sz w:val="24"/>
          <w:szCs w:val="24"/>
        </w:rPr>
        <w:t xml:space="preserve"> OF COIN</w:t>
      </w:r>
      <w:r w:rsidR="00531CEF" w:rsidRPr="005F3C42">
        <w:rPr>
          <w:rFonts w:ascii="Century Gothic" w:hAnsi="Century Gothic"/>
          <w:sz w:val="24"/>
          <w:szCs w:val="24"/>
        </w:rPr>
        <w:t xml:space="preserve"> AND HIGH IMPACT </w:t>
      </w:r>
      <w:r w:rsidR="00CE2601" w:rsidRPr="005F3C42">
        <w:rPr>
          <w:rFonts w:ascii="Century Gothic" w:hAnsi="Century Gothic"/>
          <w:sz w:val="24"/>
          <w:szCs w:val="24"/>
        </w:rPr>
        <w:t xml:space="preserve">INVESTMENT </w:t>
      </w:r>
      <w:r w:rsidR="00531CEF" w:rsidRPr="005F3C42">
        <w:rPr>
          <w:rFonts w:ascii="Century Gothic" w:hAnsi="Century Gothic"/>
          <w:sz w:val="24"/>
          <w:szCs w:val="24"/>
        </w:rPr>
        <w:t>BULLETIN</w:t>
      </w:r>
      <w:bookmarkEnd w:id="2"/>
      <w:r w:rsidR="00451F40" w:rsidRPr="005F3C42">
        <w:rPr>
          <w:rFonts w:ascii="Century Gothic" w:hAnsi="Century Gothic"/>
          <w:sz w:val="24"/>
          <w:szCs w:val="24"/>
        </w:rPr>
        <w:t>S</w:t>
      </w:r>
    </w:p>
    <w:p w:rsidR="00164AA5" w:rsidRPr="003F38A3" w:rsidRDefault="008745A9" w:rsidP="00CF5A98">
      <w:pPr>
        <w:rPr>
          <w:rFonts w:ascii="Century Gothic" w:hAnsi="Century Gothic" w:cs="Times New Roman"/>
          <w:sz w:val="24"/>
        </w:rPr>
      </w:pPr>
      <w:r w:rsidRPr="00FA7698">
        <w:rPr>
          <w:rFonts w:ascii="Century Gothic" w:hAnsi="Century Gothic" w:cs="Times New Roman"/>
          <w:sz w:val="24"/>
          <w:szCs w:val="24"/>
        </w:rPr>
        <w:t>COIN was established in 1996 at the request of the insurance industry as an alternative to state legislation that would have require</w:t>
      </w:r>
      <w:r w:rsidRPr="008A2E03">
        <w:rPr>
          <w:rFonts w:ascii="Century Gothic" w:hAnsi="Century Gothic" w:cs="Times New Roman"/>
          <w:sz w:val="24"/>
          <w:szCs w:val="24"/>
        </w:rPr>
        <w:t>d insurance companies to invest in</w:t>
      </w:r>
      <w:r w:rsidRPr="00876EED">
        <w:rPr>
          <w:rFonts w:ascii="Century Gothic" w:hAnsi="Century Gothic" w:cs="Times New Roman"/>
          <w:sz w:val="24"/>
          <w:szCs w:val="24"/>
        </w:rPr>
        <w:t xml:space="preserve"> underserved communities, similar to the federal Community Reinvestment Act (CRA) that ap</w:t>
      </w:r>
      <w:r w:rsidR="00731522">
        <w:rPr>
          <w:rFonts w:ascii="Century Gothic" w:hAnsi="Century Gothic" w:cs="Times New Roman"/>
          <w:sz w:val="24"/>
          <w:szCs w:val="24"/>
        </w:rPr>
        <w:t xml:space="preserve">plies to the banking industry. </w:t>
      </w:r>
      <w:r w:rsidRPr="00876EED">
        <w:rPr>
          <w:rFonts w:ascii="Century Gothic" w:hAnsi="Century Gothic" w:cs="Times New Roman"/>
          <w:sz w:val="24"/>
          <w:szCs w:val="24"/>
        </w:rPr>
        <w:t>This voluntary program facilitates</w:t>
      </w:r>
      <w:r w:rsidRPr="003F38A3">
        <w:rPr>
          <w:rFonts w:ascii="Century Gothic" w:hAnsi="Century Gothic" w:cs="Times New Roman"/>
          <w:sz w:val="24"/>
        </w:rPr>
        <w:t xml:space="preserve"> insurance industry investments that provide solid returns to in</w:t>
      </w:r>
      <w:r w:rsidR="00CE2601" w:rsidRPr="003F38A3">
        <w:rPr>
          <w:rFonts w:ascii="Century Gothic" w:hAnsi="Century Gothic" w:cs="Times New Roman"/>
          <w:sz w:val="24"/>
        </w:rPr>
        <w:t xml:space="preserve">vestors </w:t>
      </w:r>
      <w:r w:rsidR="00D862D3" w:rsidRPr="003F38A3">
        <w:rPr>
          <w:rFonts w:ascii="Century Gothic" w:hAnsi="Century Gothic" w:cs="Times New Roman"/>
          <w:sz w:val="24"/>
        </w:rPr>
        <w:t>that yield environmental benefits throughout Californ</w:t>
      </w:r>
      <w:r w:rsidR="00731522">
        <w:rPr>
          <w:rFonts w:ascii="Century Gothic" w:hAnsi="Century Gothic" w:cs="Times New Roman"/>
          <w:sz w:val="24"/>
        </w:rPr>
        <w:t>ia and/or social benefits to</w:t>
      </w:r>
      <w:r w:rsidR="00D862D3" w:rsidRPr="003F38A3">
        <w:rPr>
          <w:rFonts w:ascii="Century Gothic" w:hAnsi="Century Gothic" w:cs="Times New Roman"/>
          <w:sz w:val="24"/>
        </w:rPr>
        <w:t xml:space="preserve"> the State's underserved communities</w:t>
      </w:r>
      <w:r w:rsidRPr="003F38A3">
        <w:rPr>
          <w:rFonts w:ascii="Century Gothic" w:hAnsi="Century Gothic" w:cs="Times New Roman"/>
          <w:sz w:val="24"/>
        </w:rPr>
        <w:t>.</w:t>
      </w:r>
      <w:r w:rsidR="00531CEF" w:rsidRPr="003F38A3">
        <w:rPr>
          <w:rFonts w:ascii="Century Gothic" w:hAnsi="Century Gothic" w:cs="Times New Roman"/>
          <w:sz w:val="24"/>
        </w:rPr>
        <w:t xml:space="preserve"> COIN is a collaborative effort between the California Department of Insurance, the insurance industry, community affordable housing and economic development organizations, and community advocates.</w:t>
      </w:r>
    </w:p>
    <w:p w:rsidR="002D3E09" w:rsidRPr="003F38A3" w:rsidRDefault="002D3E09" w:rsidP="00CF5A98">
      <w:pPr>
        <w:rPr>
          <w:rFonts w:ascii="Century Gothic" w:hAnsi="Century Gothic" w:cs="Times New Roman"/>
          <w:sz w:val="24"/>
        </w:rPr>
      </w:pPr>
      <w:r w:rsidRPr="003F38A3">
        <w:rPr>
          <w:rFonts w:ascii="Century Gothic" w:hAnsi="Century Gothic" w:cs="Times New Roman"/>
          <w:sz w:val="24"/>
        </w:rPr>
        <w:t xml:space="preserve">According to 926.2(b), </w:t>
      </w:r>
      <w:r w:rsidR="00451F40" w:rsidRPr="003F38A3">
        <w:rPr>
          <w:rFonts w:ascii="Century Gothic" w:hAnsi="Century Gothic" w:cs="Times New Roman"/>
          <w:sz w:val="24"/>
        </w:rPr>
        <w:t xml:space="preserve">through data call surveys sent to insurers, </w:t>
      </w:r>
      <w:r w:rsidRPr="003F38A3">
        <w:rPr>
          <w:rFonts w:ascii="Century Gothic" w:hAnsi="Century Gothic" w:cs="Times New Roman"/>
          <w:sz w:val="24"/>
        </w:rPr>
        <w:t>the commissioner shall, provide information on the department’s Internet Web site on the aggregate insurer community development investments and community development infrastructure investments. Insurers that make investments that are innovative, responsive to community needs, not routinely provided by insurers, qualify as green investments, or have a high degree of positive impact on the econo</w:t>
      </w:r>
      <w:r w:rsidR="00731522">
        <w:rPr>
          <w:rFonts w:ascii="Century Gothic" w:hAnsi="Century Gothic" w:cs="Times New Roman"/>
          <w:sz w:val="24"/>
        </w:rPr>
        <w:t xml:space="preserve">mic welfare of low-to-moderate </w:t>
      </w:r>
      <w:r w:rsidRPr="003F38A3">
        <w:rPr>
          <w:rFonts w:ascii="Century Gothic" w:hAnsi="Century Gothic" w:cs="Times New Roman"/>
          <w:sz w:val="24"/>
        </w:rPr>
        <w:t>income individuals, families, or communities in urban or rural California shall be identified.</w:t>
      </w:r>
    </w:p>
    <w:p w:rsidR="00164AA5" w:rsidRPr="003F38A3" w:rsidRDefault="00164AA5" w:rsidP="00164AA5">
      <w:pPr>
        <w:rPr>
          <w:rFonts w:ascii="Century Gothic" w:hAnsi="Century Gothic" w:cs="Times New Roman"/>
          <w:sz w:val="24"/>
        </w:rPr>
      </w:pPr>
      <w:r w:rsidRPr="003F38A3">
        <w:rPr>
          <w:rFonts w:ascii="Century Gothic" w:hAnsi="Century Gothic" w:cs="Times New Roman"/>
          <w:sz w:val="24"/>
        </w:rPr>
        <w:t xml:space="preserve">COIN Bulletins are a means of informing insurance companies about some of the investment opportunities which would meet the community development mission of the program.  The bulletins are a vehicle by which community development organizations actively seeking insurance company investments are able to communicate those needs to the insurance industry. </w:t>
      </w:r>
    </w:p>
    <w:p w:rsidR="00BD1508" w:rsidRDefault="00BD1508" w:rsidP="005F3C42">
      <w:pPr>
        <w:pStyle w:val="Heading1"/>
        <w:jc w:val="left"/>
        <w:rPr>
          <w:rFonts w:ascii="Century Gothic" w:hAnsi="Century Gothic"/>
          <w:sz w:val="24"/>
          <w:szCs w:val="24"/>
        </w:rPr>
      </w:pPr>
      <w:bookmarkStart w:id="3" w:name="_Toc371580011"/>
    </w:p>
    <w:p w:rsidR="00BD1508" w:rsidRDefault="00BD1508" w:rsidP="005F3C42">
      <w:pPr>
        <w:pStyle w:val="Heading1"/>
        <w:jc w:val="left"/>
        <w:rPr>
          <w:rFonts w:ascii="Century Gothic" w:hAnsi="Century Gothic"/>
          <w:sz w:val="24"/>
          <w:szCs w:val="24"/>
        </w:rPr>
      </w:pPr>
    </w:p>
    <w:p w:rsidR="00CE2601" w:rsidRPr="00FA7698" w:rsidRDefault="00CE2601" w:rsidP="005F3C42">
      <w:pPr>
        <w:pStyle w:val="Heading1"/>
        <w:jc w:val="left"/>
        <w:rPr>
          <w:rFonts w:ascii="Century Gothic" w:hAnsi="Century Gothic"/>
          <w:sz w:val="24"/>
          <w:szCs w:val="24"/>
        </w:rPr>
      </w:pPr>
      <w:r w:rsidRPr="005F3C42">
        <w:rPr>
          <w:rFonts w:ascii="Century Gothic" w:hAnsi="Century Gothic"/>
          <w:sz w:val="24"/>
          <w:szCs w:val="24"/>
        </w:rPr>
        <w:t>BENEFIT</w:t>
      </w:r>
      <w:r w:rsidR="00CE44E3">
        <w:rPr>
          <w:rFonts w:ascii="Century Gothic" w:hAnsi="Century Gothic"/>
          <w:sz w:val="24"/>
          <w:szCs w:val="24"/>
        </w:rPr>
        <w:t>S</w:t>
      </w:r>
      <w:r w:rsidRPr="005F3C42">
        <w:rPr>
          <w:rFonts w:ascii="Century Gothic" w:hAnsi="Century Gothic"/>
          <w:sz w:val="24"/>
          <w:szCs w:val="24"/>
        </w:rPr>
        <w:t xml:space="preserve"> OF HIGH IMPACT INVESTMENT BULLETIN</w:t>
      </w:r>
      <w:bookmarkEnd w:id="3"/>
      <w:r w:rsidR="00BD1508">
        <w:rPr>
          <w:rFonts w:ascii="Century Gothic" w:hAnsi="Century Gothic"/>
          <w:sz w:val="24"/>
          <w:szCs w:val="24"/>
        </w:rPr>
        <w:t>S</w:t>
      </w:r>
    </w:p>
    <w:p w:rsidR="0083070C" w:rsidRDefault="00C8196F" w:rsidP="002D3E09">
      <w:pPr>
        <w:rPr>
          <w:rFonts w:ascii="Century Gothic" w:hAnsi="Century Gothic"/>
          <w:sz w:val="24"/>
          <w:szCs w:val="24"/>
        </w:rPr>
      </w:pPr>
      <w:r>
        <w:rPr>
          <w:rFonts w:ascii="Century Gothic" w:hAnsi="Century Gothic"/>
          <w:sz w:val="24"/>
          <w:szCs w:val="24"/>
        </w:rPr>
        <w:t>Becoming a High Impact Investment offers</w:t>
      </w:r>
      <w:r w:rsidR="00462D1A">
        <w:rPr>
          <w:rFonts w:ascii="Century Gothic" w:hAnsi="Century Gothic"/>
          <w:sz w:val="24"/>
          <w:szCs w:val="24"/>
        </w:rPr>
        <w:t xml:space="preserve"> </w:t>
      </w:r>
      <w:r w:rsidR="00FD19D9">
        <w:rPr>
          <w:rFonts w:ascii="Century Gothic" w:hAnsi="Century Gothic"/>
          <w:sz w:val="24"/>
          <w:szCs w:val="24"/>
        </w:rPr>
        <w:t xml:space="preserve">significant </w:t>
      </w:r>
      <w:r w:rsidR="00462D1A">
        <w:rPr>
          <w:rFonts w:ascii="Century Gothic" w:hAnsi="Century Gothic"/>
          <w:sz w:val="24"/>
          <w:szCs w:val="24"/>
        </w:rPr>
        <w:t>benefits that include but are not limited to the following:</w:t>
      </w:r>
    </w:p>
    <w:p w:rsidR="00C8196F" w:rsidRDefault="00462D1A" w:rsidP="005F3C42">
      <w:pPr>
        <w:pStyle w:val="ListParagraph"/>
        <w:numPr>
          <w:ilvl w:val="0"/>
          <w:numId w:val="19"/>
        </w:numPr>
        <w:rPr>
          <w:rFonts w:ascii="Century Gothic" w:hAnsi="Century Gothic"/>
          <w:sz w:val="24"/>
          <w:szCs w:val="24"/>
        </w:rPr>
      </w:pPr>
      <w:r w:rsidRPr="005F3C42">
        <w:rPr>
          <w:rFonts w:ascii="Century Gothic" w:hAnsi="Century Gothic"/>
          <w:b/>
          <w:sz w:val="24"/>
          <w:szCs w:val="24"/>
        </w:rPr>
        <w:t>Exposure</w:t>
      </w:r>
    </w:p>
    <w:p w:rsidR="004514AE" w:rsidRPr="005F3C42" w:rsidRDefault="00C8196F" w:rsidP="005F3C42">
      <w:pPr>
        <w:pStyle w:val="ListParagraph"/>
        <w:rPr>
          <w:rFonts w:ascii="Century Gothic" w:hAnsi="Century Gothic"/>
          <w:sz w:val="24"/>
          <w:szCs w:val="24"/>
        </w:rPr>
      </w:pPr>
      <w:r>
        <w:rPr>
          <w:rFonts w:ascii="Century Gothic" w:hAnsi="Century Gothic"/>
          <w:sz w:val="24"/>
          <w:szCs w:val="24"/>
        </w:rPr>
        <w:t xml:space="preserve">High Impact Investment Bulletins are shared with </w:t>
      </w:r>
      <w:r w:rsidR="00AB013E">
        <w:rPr>
          <w:rFonts w:ascii="Century Gothic" w:hAnsi="Century Gothic"/>
          <w:sz w:val="24"/>
          <w:szCs w:val="24"/>
        </w:rPr>
        <w:t xml:space="preserve">over </w:t>
      </w:r>
      <w:r w:rsidR="008F56B8">
        <w:rPr>
          <w:rFonts w:ascii="Century Gothic" w:hAnsi="Century Gothic"/>
          <w:sz w:val="24"/>
          <w:szCs w:val="24"/>
        </w:rPr>
        <w:t>1,000 insurance</w:t>
      </w:r>
      <w:r w:rsidR="00AB013E">
        <w:rPr>
          <w:rFonts w:ascii="Century Gothic" w:hAnsi="Century Gothic"/>
          <w:sz w:val="24"/>
          <w:szCs w:val="24"/>
        </w:rPr>
        <w:t xml:space="preserve"> companies</w:t>
      </w:r>
      <w:r w:rsidR="00462D1A">
        <w:rPr>
          <w:rFonts w:ascii="Century Gothic" w:hAnsi="Century Gothic"/>
          <w:sz w:val="24"/>
          <w:szCs w:val="24"/>
        </w:rPr>
        <w:t xml:space="preserve"> </w:t>
      </w:r>
      <w:r w:rsidR="00AB013E">
        <w:rPr>
          <w:rFonts w:ascii="Century Gothic" w:hAnsi="Century Gothic"/>
          <w:sz w:val="24"/>
          <w:szCs w:val="24"/>
        </w:rPr>
        <w:t>that hold in excess of</w:t>
      </w:r>
      <w:r w:rsidR="00462D1A">
        <w:rPr>
          <w:rFonts w:ascii="Century Gothic" w:hAnsi="Century Gothic"/>
          <w:sz w:val="24"/>
          <w:szCs w:val="24"/>
        </w:rPr>
        <w:t xml:space="preserve"> $</w:t>
      </w:r>
      <w:r w:rsidR="00AB013E">
        <w:rPr>
          <w:rFonts w:ascii="Century Gothic" w:hAnsi="Century Gothic"/>
          <w:sz w:val="24"/>
          <w:szCs w:val="24"/>
        </w:rPr>
        <w:t>4 trillion</w:t>
      </w:r>
      <w:r w:rsidR="00462D1A">
        <w:rPr>
          <w:rFonts w:ascii="Century Gothic" w:hAnsi="Century Gothic"/>
          <w:sz w:val="24"/>
          <w:szCs w:val="24"/>
        </w:rPr>
        <w:t xml:space="preserve"> under management</w:t>
      </w:r>
      <w:r>
        <w:rPr>
          <w:rFonts w:ascii="Century Gothic" w:hAnsi="Century Gothic"/>
          <w:sz w:val="24"/>
          <w:szCs w:val="24"/>
        </w:rPr>
        <w:t xml:space="preserve"> </w:t>
      </w:r>
      <w:r w:rsidR="00AB013E">
        <w:rPr>
          <w:rFonts w:ascii="Century Gothic" w:hAnsi="Century Gothic"/>
          <w:sz w:val="24"/>
          <w:szCs w:val="24"/>
        </w:rPr>
        <w:t>and</w:t>
      </w:r>
      <w:r>
        <w:rPr>
          <w:rFonts w:ascii="Century Gothic" w:hAnsi="Century Gothic"/>
          <w:sz w:val="24"/>
          <w:szCs w:val="24"/>
        </w:rPr>
        <w:t xml:space="preserve"> are seeking investment opportunities in underserved and rural communities in California</w:t>
      </w:r>
      <w:r w:rsidR="00FD19D9">
        <w:rPr>
          <w:rFonts w:ascii="Century Gothic" w:hAnsi="Century Gothic"/>
          <w:sz w:val="24"/>
          <w:szCs w:val="24"/>
        </w:rPr>
        <w:t xml:space="preserve">. </w:t>
      </w:r>
      <w:r w:rsidR="00462D1A" w:rsidRPr="005F3C42">
        <w:rPr>
          <w:rFonts w:ascii="Century Gothic" w:hAnsi="Century Gothic"/>
          <w:sz w:val="24"/>
          <w:szCs w:val="24"/>
        </w:rPr>
        <w:t xml:space="preserve">COIN will </w:t>
      </w:r>
      <w:r w:rsidR="00CE25F6" w:rsidRPr="005F3C42">
        <w:rPr>
          <w:rFonts w:ascii="Century Gothic" w:hAnsi="Century Gothic"/>
          <w:sz w:val="24"/>
          <w:szCs w:val="24"/>
        </w:rPr>
        <w:t xml:space="preserve">support </w:t>
      </w:r>
      <w:r w:rsidR="00462D1A" w:rsidRPr="005F3C42">
        <w:rPr>
          <w:rFonts w:ascii="Century Gothic" w:hAnsi="Century Gothic"/>
          <w:sz w:val="24"/>
          <w:szCs w:val="24"/>
        </w:rPr>
        <w:t xml:space="preserve">applicants in marketing their product by distributing bulletins </w:t>
      </w:r>
      <w:r w:rsidR="00FD19D9">
        <w:rPr>
          <w:rFonts w:ascii="Century Gothic" w:hAnsi="Century Gothic"/>
          <w:sz w:val="24"/>
          <w:szCs w:val="24"/>
        </w:rPr>
        <w:t>to COIN’s network of insurers</w:t>
      </w:r>
      <w:r w:rsidR="00462D1A" w:rsidRPr="005F3C42">
        <w:rPr>
          <w:rFonts w:ascii="Century Gothic" w:hAnsi="Century Gothic"/>
          <w:sz w:val="24"/>
          <w:szCs w:val="24"/>
        </w:rPr>
        <w:t xml:space="preserve">, </w:t>
      </w:r>
      <w:r w:rsidR="00FD19D9">
        <w:rPr>
          <w:rFonts w:ascii="Century Gothic" w:hAnsi="Century Gothic"/>
          <w:sz w:val="24"/>
          <w:szCs w:val="24"/>
        </w:rPr>
        <w:t xml:space="preserve">by circulating </w:t>
      </w:r>
      <w:r w:rsidR="00462D1A" w:rsidRPr="005F3C42">
        <w:rPr>
          <w:rFonts w:ascii="Century Gothic" w:hAnsi="Century Gothic"/>
          <w:sz w:val="24"/>
          <w:szCs w:val="24"/>
        </w:rPr>
        <w:t>handout</w:t>
      </w:r>
      <w:r w:rsidR="00FD19D9">
        <w:rPr>
          <w:rFonts w:ascii="Century Gothic" w:hAnsi="Century Gothic"/>
          <w:sz w:val="24"/>
          <w:szCs w:val="24"/>
        </w:rPr>
        <w:t>s at insurance trade association</w:t>
      </w:r>
      <w:r w:rsidR="00462D1A" w:rsidRPr="005F3C42">
        <w:rPr>
          <w:rFonts w:ascii="Century Gothic" w:hAnsi="Century Gothic"/>
          <w:sz w:val="24"/>
          <w:szCs w:val="24"/>
        </w:rPr>
        <w:t xml:space="preserve"> meetings</w:t>
      </w:r>
      <w:r w:rsidR="00CE25F6" w:rsidRPr="005F3C42">
        <w:rPr>
          <w:rFonts w:ascii="Century Gothic" w:hAnsi="Century Gothic"/>
          <w:sz w:val="24"/>
          <w:szCs w:val="24"/>
        </w:rPr>
        <w:t>,</w:t>
      </w:r>
      <w:r w:rsidR="00462D1A" w:rsidRPr="005F3C42">
        <w:rPr>
          <w:rFonts w:ascii="Century Gothic" w:hAnsi="Century Gothic"/>
          <w:sz w:val="24"/>
          <w:szCs w:val="24"/>
        </w:rPr>
        <w:t xml:space="preserve"> and </w:t>
      </w:r>
      <w:r w:rsidR="00FD19D9">
        <w:rPr>
          <w:rFonts w:ascii="Century Gothic" w:hAnsi="Century Gothic"/>
          <w:sz w:val="24"/>
          <w:szCs w:val="24"/>
        </w:rPr>
        <w:t xml:space="preserve">by hosting </w:t>
      </w:r>
      <w:r>
        <w:rPr>
          <w:rFonts w:ascii="Century Gothic" w:hAnsi="Century Gothic"/>
          <w:sz w:val="24"/>
          <w:szCs w:val="24"/>
        </w:rPr>
        <w:t>High Impact Investment B</w:t>
      </w:r>
      <w:r w:rsidR="00FD19D9">
        <w:rPr>
          <w:rFonts w:ascii="Century Gothic" w:hAnsi="Century Gothic"/>
          <w:sz w:val="24"/>
          <w:szCs w:val="24"/>
        </w:rPr>
        <w:t>ulletin</w:t>
      </w:r>
      <w:r w:rsidR="009139C2">
        <w:rPr>
          <w:rFonts w:ascii="Century Gothic" w:hAnsi="Century Gothic"/>
          <w:sz w:val="24"/>
          <w:szCs w:val="24"/>
        </w:rPr>
        <w:t>s</w:t>
      </w:r>
      <w:r w:rsidR="00FD19D9">
        <w:rPr>
          <w:rFonts w:ascii="Century Gothic" w:hAnsi="Century Gothic"/>
          <w:sz w:val="24"/>
          <w:szCs w:val="24"/>
        </w:rPr>
        <w:t xml:space="preserve"> online</w:t>
      </w:r>
      <w:r>
        <w:rPr>
          <w:rFonts w:ascii="Century Gothic" w:hAnsi="Century Gothic"/>
          <w:sz w:val="24"/>
          <w:szCs w:val="24"/>
        </w:rPr>
        <w:t xml:space="preserve"> on the COIN website</w:t>
      </w:r>
      <w:r w:rsidR="00462D1A" w:rsidRPr="005F3C42">
        <w:rPr>
          <w:rFonts w:ascii="Century Gothic" w:hAnsi="Century Gothic"/>
          <w:sz w:val="24"/>
          <w:szCs w:val="24"/>
        </w:rPr>
        <w:t>.</w:t>
      </w:r>
      <w:r w:rsidR="004514AE" w:rsidRPr="005F3C42">
        <w:rPr>
          <w:rFonts w:ascii="Century Gothic" w:hAnsi="Century Gothic"/>
          <w:sz w:val="24"/>
          <w:szCs w:val="24"/>
        </w:rPr>
        <w:t xml:space="preserve"> </w:t>
      </w:r>
    </w:p>
    <w:p w:rsidR="004514AE" w:rsidRPr="005F3C42" w:rsidRDefault="004514AE" w:rsidP="005F3C42">
      <w:pPr>
        <w:pStyle w:val="ListParagraph"/>
        <w:ind w:left="1440"/>
        <w:rPr>
          <w:rFonts w:ascii="Century Gothic" w:hAnsi="Century Gothic"/>
          <w:sz w:val="24"/>
          <w:szCs w:val="24"/>
        </w:rPr>
      </w:pPr>
    </w:p>
    <w:p w:rsidR="009139C2" w:rsidRDefault="00462D1A" w:rsidP="005F3C42">
      <w:pPr>
        <w:pStyle w:val="ListParagraph"/>
        <w:numPr>
          <w:ilvl w:val="0"/>
          <w:numId w:val="19"/>
        </w:numPr>
        <w:rPr>
          <w:rFonts w:ascii="Century Gothic" w:hAnsi="Century Gothic"/>
          <w:sz w:val="24"/>
          <w:szCs w:val="24"/>
        </w:rPr>
      </w:pPr>
      <w:r w:rsidRPr="005F3C42">
        <w:rPr>
          <w:rFonts w:ascii="Century Gothic" w:hAnsi="Century Gothic"/>
          <w:b/>
          <w:sz w:val="24"/>
          <w:szCs w:val="24"/>
        </w:rPr>
        <w:lastRenderedPageBreak/>
        <w:t>Validation</w:t>
      </w:r>
    </w:p>
    <w:p w:rsidR="004514AE" w:rsidRPr="005F3C42" w:rsidRDefault="009139C2" w:rsidP="005F3C42">
      <w:pPr>
        <w:pStyle w:val="ListParagraph"/>
        <w:rPr>
          <w:rFonts w:ascii="Century Gothic" w:hAnsi="Century Gothic"/>
          <w:sz w:val="24"/>
          <w:szCs w:val="24"/>
        </w:rPr>
      </w:pPr>
      <w:r>
        <w:rPr>
          <w:rFonts w:ascii="Century Gothic" w:hAnsi="Century Gothic"/>
          <w:sz w:val="24"/>
          <w:szCs w:val="24"/>
        </w:rPr>
        <w:t xml:space="preserve">Approval of an investment as a High Impact investment recognizes and validates an investment’s potential for impact. </w:t>
      </w:r>
      <w:r w:rsidR="00666F9B" w:rsidRPr="005F3C42">
        <w:rPr>
          <w:rFonts w:ascii="Century Gothic" w:hAnsi="Century Gothic"/>
          <w:sz w:val="24"/>
          <w:szCs w:val="24"/>
        </w:rPr>
        <w:t xml:space="preserve">While the bulletin doesn’t constitute </w:t>
      </w:r>
      <w:r w:rsidR="004514AE" w:rsidRPr="005F3C42">
        <w:rPr>
          <w:rFonts w:ascii="Century Gothic" w:hAnsi="Century Gothic"/>
          <w:sz w:val="24"/>
          <w:szCs w:val="24"/>
        </w:rPr>
        <w:t>an official recommendation</w:t>
      </w:r>
      <w:r w:rsidR="00666F9B" w:rsidRPr="005F3C42">
        <w:rPr>
          <w:rFonts w:ascii="Century Gothic" w:hAnsi="Century Gothic"/>
          <w:sz w:val="24"/>
          <w:szCs w:val="24"/>
        </w:rPr>
        <w:t xml:space="preserve">, it </w:t>
      </w:r>
      <w:r w:rsidR="002E0DB9">
        <w:rPr>
          <w:rFonts w:ascii="Century Gothic" w:hAnsi="Century Gothic"/>
          <w:sz w:val="24"/>
          <w:szCs w:val="24"/>
        </w:rPr>
        <w:t xml:space="preserve">serves </w:t>
      </w:r>
      <w:r w:rsidR="00666F9B" w:rsidRPr="005F3C42">
        <w:rPr>
          <w:rFonts w:ascii="Century Gothic" w:hAnsi="Century Gothic"/>
          <w:sz w:val="24"/>
          <w:szCs w:val="24"/>
        </w:rPr>
        <w:t xml:space="preserve">as a form of </w:t>
      </w:r>
      <w:r w:rsidR="004514AE" w:rsidRPr="005F3C42">
        <w:rPr>
          <w:rFonts w:ascii="Century Gothic" w:hAnsi="Century Gothic"/>
          <w:sz w:val="24"/>
          <w:szCs w:val="24"/>
        </w:rPr>
        <w:t xml:space="preserve">assurance to insurers </w:t>
      </w:r>
      <w:r w:rsidR="002E0DB9">
        <w:rPr>
          <w:rFonts w:ascii="Century Gothic" w:hAnsi="Century Gothic"/>
          <w:sz w:val="24"/>
          <w:szCs w:val="24"/>
        </w:rPr>
        <w:t xml:space="preserve">and the greater public </w:t>
      </w:r>
      <w:r>
        <w:rPr>
          <w:rFonts w:ascii="Century Gothic" w:hAnsi="Century Gothic"/>
          <w:sz w:val="24"/>
          <w:szCs w:val="24"/>
        </w:rPr>
        <w:t xml:space="preserve">that </w:t>
      </w:r>
      <w:r w:rsidR="004514AE" w:rsidRPr="005F3C42">
        <w:rPr>
          <w:rFonts w:ascii="Century Gothic" w:hAnsi="Century Gothic"/>
          <w:sz w:val="24"/>
          <w:szCs w:val="24"/>
        </w:rPr>
        <w:t xml:space="preserve">the investment </w:t>
      </w:r>
      <w:r w:rsidR="002E0DB9">
        <w:rPr>
          <w:rFonts w:ascii="Century Gothic" w:hAnsi="Century Gothic"/>
          <w:sz w:val="24"/>
          <w:szCs w:val="24"/>
        </w:rPr>
        <w:t xml:space="preserve">is sound and carries potential </w:t>
      </w:r>
      <w:r>
        <w:rPr>
          <w:rFonts w:ascii="Century Gothic" w:hAnsi="Century Gothic"/>
          <w:sz w:val="24"/>
          <w:szCs w:val="24"/>
        </w:rPr>
        <w:t xml:space="preserve">benefits to </w:t>
      </w:r>
      <w:r w:rsidR="002E0DB9">
        <w:rPr>
          <w:rFonts w:ascii="Century Gothic" w:hAnsi="Century Gothic"/>
          <w:sz w:val="24"/>
          <w:szCs w:val="24"/>
        </w:rPr>
        <w:t>California’s underserved communities</w:t>
      </w:r>
      <w:r w:rsidR="00CA7B7A" w:rsidRPr="005F3C42">
        <w:rPr>
          <w:rFonts w:ascii="Century Gothic" w:hAnsi="Century Gothic"/>
          <w:sz w:val="24"/>
          <w:szCs w:val="24"/>
        </w:rPr>
        <w:t>.</w:t>
      </w:r>
    </w:p>
    <w:p w:rsidR="004514AE" w:rsidRPr="00666F9B" w:rsidRDefault="004514AE" w:rsidP="005F3C42">
      <w:pPr>
        <w:pStyle w:val="ListParagraph"/>
        <w:ind w:left="1440"/>
        <w:rPr>
          <w:rFonts w:ascii="Century Gothic" w:hAnsi="Century Gothic"/>
          <w:sz w:val="24"/>
          <w:szCs w:val="24"/>
        </w:rPr>
      </w:pPr>
    </w:p>
    <w:p w:rsidR="00B63C9D" w:rsidRDefault="00462D1A" w:rsidP="005F3C42">
      <w:pPr>
        <w:pStyle w:val="ListParagraph"/>
        <w:numPr>
          <w:ilvl w:val="0"/>
          <w:numId w:val="19"/>
        </w:numPr>
        <w:rPr>
          <w:rFonts w:ascii="Century Gothic" w:hAnsi="Century Gothic"/>
          <w:sz w:val="24"/>
          <w:szCs w:val="24"/>
        </w:rPr>
      </w:pPr>
      <w:r w:rsidRPr="005F3C42">
        <w:rPr>
          <w:rFonts w:ascii="Century Gothic" w:hAnsi="Century Gothic"/>
          <w:b/>
          <w:sz w:val="24"/>
          <w:szCs w:val="24"/>
        </w:rPr>
        <w:t>Accountability</w:t>
      </w:r>
    </w:p>
    <w:p w:rsidR="00B53CCE" w:rsidRPr="005F3C42" w:rsidRDefault="00B63C9D" w:rsidP="005F3C42">
      <w:pPr>
        <w:pStyle w:val="ListParagraph"/>
        <w:rPr>
          <w:rFonts w:ascii="Century Gothic" w:hAnsi="Century Gothic"/>
          <w:sz w:val="24"/>
          <w:szCs w:val="24"/>
        </w:rPr>
      </w:pPr>
      <w:r>
        <w:rPr>
          <w:rFonts w:ascii="Century Gothic" w:hAnsi="Century Gothic"/>
          <w:sz w:val="24"/>
          <w:szCs w:val="24"/>
        </w:rPr>
        <w:t>The High Impact Investment Bulletin demonstrates to investors and the public that the applicant is committed to being transparent and accountable for the High impact Investment’s social and/or environmental performance. Periodic investment tracking and reporting to COIN ensures the investment’s social and/or environmental benefits in California are fully disclosed and documented.</w:t>
      </w:r>
    </w:p>
    <w:p w:rsidR="00B3106A" w:rsidRPr="005F3C42" w:rsidRDefault="00B3106A" w:rsidP="005F3C42">
      <w:pPr>
        <w:pStyle w:val="ListParagraph"/>
        <w:ind w:left="1440"/>
        <w:rPr>
          <w:rFonts w:ascii="Century Gothic" w:hAnsi="Century Gothic"/>
          <w:sz w:val="24"/>
          <w:szCs w:val="24"/>
        </w:rPr>
      </w:pPr>
    </w:p>
    <w:p w:rsidR="007B6C07" w:rsidRPr="005F3C42" w:rsidRDefault="007B6C07" w:rsidP="005F3C42">
      <w:pPr>
        <w:pStyle w:val="Heading1"/>
        <w:jc w:val="left"/>
        <w:rPr>
          <w:rFonts w:ascii="Century Gothic" w:hAnsi="Century Gothic"/>
          <w:sz w:val="24"/>
          <w:szCs w:val="24"/>
        </w:rPr>
      </w:pPr>
      <w:bookmarkStart w:id="4" w:name="_Toc371580012"/>
      <w:r w:rsidRPr="005F3C42">
        <w:rPr>
          <w:rFonts w:ascii="Century Gothic" w:hAnsi="Century Gothic"/>
          <w:sz w:val="24"/>
          <w:szCs w:val="24"/>
        </w:rPr>
        <w:t>COIN’S MAJOR DUTIES</w:t>
      </w:r>
      <w:bookmarkEnd w:id="4"/>
    </w:p>
    <w:p w:rsidR="00EA48E1" w:rsidRDefault="007B6C07" w:rsidP="005F3C42">
      <w:pPr>
        <w:rPr>
          <w:rFonts w:ascii="Century Gothic" w:hAnsi="Century Gothic" w:cs="Times New Roman"/>
          <w:sz w:val="24"/>
        </w:rPr>
      </w:pPr>
      <w:r w:rsidRPr="003F38A3">
        <w:rPr>
          <w:rFonts w:ascii="Century Gothic" w:hAnsi="Century Gothic" w:cs="Times New Roman"/>
          <w:sz w:val="24"/>
        </w:rPr>
        <w:t xml:space="preserve">Led by </w:t>
      </w:r>
      <w:r w:rsidR="00451F40" w:rsidRPr="003F38A3">
        <w:rPr>
          <w:rFonts w:ascii="Century Gothic" w:hAnsi="Century Gothic" w:cs="Times New Roman"/>
          <w:sz w:val="24"/>
        </w:rPr>
        <w:t>the Managing D</w:t>
      </w:r>
      <w:r w:rsidR="002D3E09" w:rsidRPr="003F38A3">
        <w:rPr>
          <w:rFonts w:ascii="Century Gothic" w:hAnsi="Century Gothic" w:cs="Times New Roman"/>
          <w:sz w:val="24"/>
        </w:rPr>
        <w:t xml:space="preserve">irector, </w:t>
      </w:r>
      <w:r w:rsidRPr="003F38A3">
        <w:rPr>
          <w:rFonts w:ascii="Century Gothic" w:hAnsi="Century Gothic" w:cs="Times New Roman"/>
          <w:sz w:val="24"/>
        </w:rPr>
        <w:t>COIN is an investment unit within the Califor</w:t>
      </w:r>
      <w:r w:rsidR="00451F40" w:rsidRPr="003F38A3">
        <w:rPr>
          <w:rFonts w:ascii="Century Gothic" w:hAnsi="Century Gothic" w:cs="Times New Roman"/>
          <w:sz w:val="24"/>
        </w:rPr>
        <w:t>nia Department of Insurance (CDI</w:t>
      </w:r>
      <w:r w:rsidRPr="003F38A3">
        <w:rPr>
          <w:rFonts w:ascii="Century Gothic" w:hAnsi="Century Gothic" w:cs="Times New Roman"/>
          <w:sz w:val="24"/>
        </w:rPr>
        <w:t>) that sources, structures, analyzes and qualifies prospective and previous insurer investments. Below are the f</w:t>
      </w:r>
      <w:r w:rsidR="00A53E00" w:rsidRPr="003F38A3">
        <w:rPr>
          <w:rFonts w:ascii="Century Gothic" w:hAnsi="Century Gothic" w:cs="Times New Roman"/>
          <w:sz w:val="24"/>
        </w:rPr>
        <w:t xml:space="preserve">ive </w:t>
      </w:r>
      <w:r w:rsidR="002D3E09" w:rsidRPr="003F38A3">
        <w:rPr>
          <w:rFonts w:ascii="Century Gothic" w:hAnsi="Century Gothic" w:cs="Times New Roman"/>
          <w:sz w:val="24"/>
        </w:rPr>
        <w:t>duties</w:t>
      </w:r>
      <w:r w:rsidR="00A53E00" w:rsidRPr="003F38A3">
        <w:rPr>
          <w:rFonts w:ascii="Century Gothic" w:hAnsi="Century Gothic" w:cs="Times New Roman"/>
          <w:sz w:val="24"/>
        </w:rPr>
        <w:t xml:space="preserve"> of the COIN program</w:t>
      </w:r>
      <w:r w:rsidR="00EA48E1">
        <w:rPr>
          <w:rFonts w:ascii="Century Gothic" w:hAnsi="Century Gothic" w:cs="Times New Roman"/>
          <w:sz w:val="24"/>
        </w:rPr>
        <w:t>:</w:t>
      </w:r>
    </w:p>
    <w:p w:rsidR="00EA48E1" w:rsidRPr="00EA48E1" w:rsidRDefault="00EA48E1" w:rsidP="005F3C42">
      <w:pPr>
        <w:pStyle w:val="ListParagraph"/>
        <w:numPr>
          <w:ilvl w:val="0"/>
          <w:numId w:val="23"/>
        </w:numPr>
        <w:rPr>
          <w:rFonts w:ascii="Century Gothic" w:hAnsi="Century Gothic" w:cs="Times New Roman"/>
          <w:sz w:val="24"/>
        </w:rPr>
      </w:pPr>
      <w:r w:rsidRPr="005F3C42">
        <w:rPr>
          <w:rFonts w:ascii="Century Gothic" w:hAnsi="Century Gothic" w:cs="Times New Roman"/>
          <w:b/>
          <w:sz w:val="24"/>
        </w:rPr>
        <w:t>Bulletins</w:t>
      </w:r>
      <w:r w:rsidRPr="00EA48E1">
        <w:rPr>
          <w:rFonts w:ascii="Century Gothic" w:hAnsi="Century Gothic" w:cs="Times New Roman"/>
          <w:sz w:val="24"/>
        </w:rPr>
        <w:t>: High-Impact Investments that are innovative, are responsive to community needs, are not routinely provided by insurers, qualify as green investments, or have a high degree of positive impact on the economic welfare of LMI individuals, families, or communities in urban or rural California.</w:t>
      </w:r>
    </w:p>
    <w:p w:rsidR="00EA48E1" w:rsidRPr="00EA48E1" w:rsidRDefault="00EA48E1" w:rsidP="005F3C42">
      <w:pPr>
        <w:pStyle w:val="ListParagraph"/>
        <w:numPr>
          <w:ilvl w:val="0"/>
          <w:numId w:val="23"/>
        </w:numPr>
        <w:rPr>
          <w:rFonts w:ascii="Century Gothic" w:hAnsi="Century Gothic" w:cs="Times New Roman"/>
          <w:sz w:val="24"/>
        </w:rPr>
      </w:pPr>
      <w:r w:rsidRPr="005F3C42">
        <w:rPr>
          <w:rFonts w:ascii="Century Gothic" w:hAnsi="Century Gothic" w:cs="Times New Roman"/>
          <w:b/>
          <w:sz w:val="24"/>
        </w:rPr>
        <w:t>Guided Investments</w:t>
      </w:r>
      <w:r w:rsidRPr="00EA48E1">
        <w:rPr>
          <w:rFonts w:ascii="Century Gothic" w:hAnsi="Century Gothic" w:cs="Times New Roman"/>
          <w:sz w:val="24"/>
        </w:rPr>
        <w:t xml:space="preserve">: </w:t>
      </w:r>
      <w:proofErr w:type="gramStart"/>
      <w:r w:rsidRPr="00EA48E1">
        <w:rPr>
          <w:rFonts w:ascii="Century Gothic" w:hAnsi="Century Gothic" w:cs="Times New Roman"/>
          <w:sz w:val="24"/>
        </w:rPr>
        <w:t>Advise</w:t>
      </w:r>
      <w:proofErr w:type="gramEnd"/>
      <w:r w:rsidRPr="00EA48E1">
        <w:rPr>
          <w:rFonts w:ascii="Century Gothic" w:hAnsi="Century Gothic" w:cs="Times New Roman"/>
          <w:sz w:val="24"/>
        </w:rPr>
        <w:t xml:space="preserve"> insurers on sourcing, structuring, evaluating and funding investments in accordance with their investment policies and regulatory guidelines, market conditi</w:t>
      </w:r>
      <w:r w:rsidR="00EE6ECC">
        <w:rPr>
          <w:rFonts w:ascii="Century Gothic" w:hAnsi="Century Gothic" w:cs="Times New Roman"/>
          <w:sz w:val="24"/>
        </w:rPr>
        <w:t xml:space="preserve">ons, and </w:t>
      </w:r>
      <w:r w:rsidRPr="00EA48E1">
        <w:rPr>
          <w:rFonts w:ascii="Century Gothic" w:hAnsi="Century Gothic" w:cs="Times New Roman"/>
          <w:sz w:val="24"/>
        </w:rPr>
        <w:t>COIN’s mission of demonstrated soc</w:t>
      </w:r>
      <w:r w:rsidR="00EE6ECC">
        <w:rPr>
          <w:rFonts w:ascii="Century Gothic" w:hAnsi="Century Gothic" w:cs="Times New Roman"/>
          <w:sz w:val="24"/>
        </w:rPr>
        <w:t>ial or environmental benefits to</w:t>
      </w:r>
      <w:r w:rsidRPr="00EA48E1">
        <w:rPr>
          <w:rFonts w:ascii="Century Gothic" w:hAnsi="Century Gothic" w:cs="Times New Roman"/>
          <w:sz w:val="24"/>
        </w:rPr>
        <w:t xml:space="preserve"> California.</w:t>
      </w:r>
    </w:p>
    <w:p w:rsidR="00EA48E1" w:rsidRPr="00EA48E1" w:rsidRDefault="00EA48E1" w:rsidP="005F3C42">
      <w:pPr>
        <w:pStyle w:val="ListParagraph"/>
        <w:numPr>
          <w:ilvl w:val="0"/>
          <w:numId w:val="23"/>
        </w:numPr>
        <w:rPr>
          <w:rFonts w:ascii="Century Gothic" w:hAnsi="Century Gothic" w:cs="Times New Roman"/>
          <w:sz w:val="24"/>
        </w:rPr>
      </w:pPr>
      <w:r w:rsidRPr="005F3C42">
        <w:rPr>
          <w:rFonts w:ascii="Century Gothic" w:hAnsi="Century Gothic" w:cs="Times New Roman"/>
          <w:b/>
          <w:sz w:val="24"/>
        </w:rPr>
        <w:t>Data Call</w:t>
      </w:r>
      <w:r w:rsidRPr="00EA48E1">
        <w:rPr>
          <w:rFonts w:ascii="Century Gothic" w:hAnsi="Century Gothic" w:cs="Times New Roman"/>
          <w:sz w:val="24"/>
        </w:rPr>
        <w:t>: Each insurer provides information on its investments to the COIN program, which researches each reported investment to verify its social or environmental impact.</w:t>
      </w:r>
    </w:p>
    <w:p w:rsidR="00EA48E1" w:rsidRPr="00EA48E1" w:rsidRDefault="00EA48E1" w:rsidP="005F3C42">
      <w:pPr>
        <w:pStyle w:val="ListParagraph"/>
        <w:numPr>
          <w:ilvl w:val="0"/>
          <w:numId w:val="23"/>
        </w:numPr>
        <w:rPr>
          <w:rFonts w:ascii="Century Gothic" w:hAnsi="Century Gothic" w:cs="Times New Roman"/>
          <w:sz w:val="24"/>
        </w:rPr>
      </w:pPr>
      <w:r w:rsidRPr="005F3C42">
        <w:rPr>
          <w:rFonts w:ascii="Century Gothic" w:hAnsi="Century Gothic" w:cs="Times New Roman"/>
          <w:b/>
          <w:sz w:val="24"/>
        </w:rPr>
        <w:t>COIN CDFI Certification</w:t>
      </w:r>
      <w:r w:rsidRPr="00EA48E1">
        <w:rPr>
          <w:rFonts w:ascii="Century Gothic" w:hAnsi="Century Gothic" w:cs="Times New Roman"/>
          <w:sz w:val="24"/>
        </w:rPr>
        <w:t>: A COIN certified Community Development Financial Institution (CDFI) must be a privately held financial institution located in California, have community development as its primary mission, and must lend or invest in urban, rural, or reservation-based</w:t>
      </w:r>
      <w:r>
        <w:rPr>
          <w:rFonts w:ascii="Century Gothic" w:hAnsi="Century Gothic" w:cs="Times New Roman"/>
          <w:sz w:val="24"/>
        </w:rPr>
        <w:t xml:space="preserve"> communities within California.</w:t>
      </w:r>
    </w:p>
    <w:p w:rsidR="00EA48E1" w:rsidRPr="005F3C42" w:rsidRDefault="00EA48E1" w:rsidP="005F3C42">
      <w:pPr>
        <w:pStyle w:val="ListParagraph"/>
        <w:numPr>
          <w:ilvl w:val="0"/>
          <w:numId w:val="23"/>
        </w:numPr>
        <w:rPr>
          <w:rFonts w:ascii="Century Gothic" w:hAnsi="Century Gothic" w:cs="Times New Roman"/>
          <w:sz w:val="24"/>
        </w:rPr>
      </w:pPr>
      <w:r w:rsidRPr="005F3C42">
        <w:rPr>
          <w:rFonts w:ascii="Century Gothic" w:hAnsi="Century Gothic" w:cs="Times New Roman"/>
          <w:b/>
          <w:sz w:val="24"/>
        </w:rPr>
        <w:t>CDFI Tax Credit Program</w:t>
      </w:r>
      <w:r w:rsidR="00AC53C1">
        <w:rPr>
          <w:rFonts w:ascii="Century Gothic" w:hAnsi="Century Gothic" w:cs="Times New Roman"/>
          <w:sz w:val="24"/>
        </w:rPr>
        <w:t xml:space="preserve">: Each year, </w:t>
      </w:r>
      <w:r w:rsidRPr="00EA48E1">
        <w:rPr>
          <w:rFonts w:ascii="Century Gothic" w:hAnsi="Century Gothic" w:cs="Times New Roman"/>
          <w:sz w:val="24"/>
        </w:rPr>
        <w:t>COIN allocates a state tax credit of 20% on qualified investments of at least $50,000 and of 60 months in duration into a COIN-certified CDFI. Qualified investments are equity, equity-like debt instruments and zero percent interest deposits. Each $1 of tax credit yields $5 of private investment, with the total tax credit allocation of $10 million generating up to $50 million of private investment into COIN-Certified CDFIs.</w:t>
      </w:r>
    </w:p>
    <w:p w:rsidR="00EA48E1" w:rsidRDefault="00EA48E1" w:rsidP="005F3C42">
      <w:pPr>
        <w:rPr>
          <w:rFonts w:ascii="Century Gothic" w:hAnsi="Century Gothic" w:cs="Times New Roman"/>
          <w:sz w:val="24"/>
        </w:rPr>
      </w:pPr>
    </w:p>
    <w:p w:rsidR="00EA48E1" w:rsidRPr="005F3C42" w:rsidRDefault="00EA48E1" w:rsidP="005F3C42">
      <w:pPr>
        <w:pStyle w:val="Heading1"/>
        <w:numPr>
          <w:ilvl w:val="0"/>
          <w:numId w:val="18"/>
        </w:numPr>
        <w:spacing w:before="0" w:after="240"/>
        <w:ind w:left="720"/>
        <w:jc w:val="left"/>
        <w:rPr>
          <w:rFonts w:ascii="Century Gothic" w:hAnsi="Century Gothic" w:cs="Times New Roman"/>
        </w:rPr>
      </w:pPr>
      <w:r w:rsidRPr="005F3C42">
        <w:rPr>
          <w:rFonts w:ascii="Century Gothic" w:hAnsi="Century Gothic" w:cs="Times New Roman"/>
        </w:rPr>
        <w:lastRenderedPageBreak/>
        <w:t>APPLICATION</w:t>
      </w:r>
      <w:r w:rsidR="00CE5729">
        <w:rPr>
          <w:rFonts w:ascii="Century Gothic" w:hAnsi="Century Gothic" w:cs="Times New Roman"/>
        </w:rPr>
        <w:t xml:space="preserve"> PROCEDURES</w:t>
      </w:r>
    </w:p>
    <w:p w:rsidR="00CE5729" w:rsidRPr="004831C6" w:rsidRDefault="00CE5729" w:rsidP="00CE5729">
      <w:pPr>
        <w:pStyle w:val="Heading1"/>
        <w:jc w:val="left"/>
        <w:rPr>
          <w:rFonts w:ascii="Century Gothic" w:hAnsi="Century Gothic"/>
          <w:sz w:val="24"/>
          <w:szCs w:val="24"/>
        </w:rPr>
      </w:pPr>
      <w:bookmarkStart w:id="5" w:name="_Ref387834402"/>
      <w:r w:rsidRPr="004831C6">
        <w:rPr>
          <w:rFonts w:ascii="Century Gothic" w:hAnsi="Century Gothic"/>
          <w:sz w:val="24"/>
          <w:szCs w:val="24"/>
        </w:rPr>
        <w:t>INVESTMENT POLICY STATEMENT</w:t>
      </w:r>
      <w:bookmarkEnd w:id="5"/>
    </w:p>
    <w:p w:rsidR="00CE5729" w:rsidRPr="004831C6" w:rsidRDefault="00CE5729" w:rsidP="00CE5729">
      <w:pPr>
        <w:rPr>
          <w:rFonts w:ascii="Century Gothic" w:hAnsi="Century Gothic" w:cs="Times New Roman"/>
          <w:sz w:val="24"/>
          <w:szCs w:val="24"/>
        </w:rPr>
      </w:pPr>
      <w:r w:rsidRPr="00FA7698">
        <w:rPr>
          <w:rFonts w:ascii="Century Gothic" w:hAnsi="Century Gothic" w:cs="Times New Roman"/>
          <w:sz w:val="24"/>
          <w:szCs w:val="24"/>
        </w:rPr>
        <w:t xml:space="preserve">This document sets forth the investment policy of COIN. Programs and projects must satisfy the guidelines of the investment policy to receive </w:t>
      </w:r>
      <w:r w:rsidRPr="004831C6">
        <w:rPr>
          <w:rFonts w:ascii="Century Gothic" w:hAnsi="Century Gothic" w:cs="Times New Roman"/>
          <w:sz w:val="24"/>
          <w:szCs w:val="24"/>
        </w:rPr>
        <w:t>assistance from COIN.</w:t>
      </w:r>
    </w:p>
    <w:p w:rsidR="00CE5729" w:rsidRPr="003F38A3" w:rsidRDefault="00CE5729" w:rsidP="00CE5729">
      <w:pPr>
        <w:rPr>
          <w:rFonts w:ascii="Century Gothic" w:hAnsi="Century Gothic" w:cs="Times New Roman"/>
          <w:sz w:val="24"/>
        </w:rPr>
      </w:pPr>
      <w:r w:rsidRPr="003F38A3">
        <w:rPr>
          <w:rFonts w:ascii="Century Gothic" w:hAnsi="Century Gothic" w:cs="Times New Roman"/>
          <w:sz w:val="24"/>
        </w:rPr>
        <w:t>This investment policy was recommended by the COIN Advisory Board to the Insurance C</w:t>
      </w:r>
      <w:r w:rsidR="00A61F2F">
        <w:rPr>
          <w:rFonts w:ascii="Century Gothic" w:hAnsi="Century Gothic" w:cs="Times New Roman"/>
          <w:sz w:val="24"/>
        </w:rPr>
        <w:t>ommissioner. This b</w:t>
      </w:r>
      <w:r w:rsidRPr="003F38A3">
        <w:rPr>
          <w:rFonts w:ascii="Century Gothic" w:hAnsi="Century Gothic" w:cs="Times New Roman"/>
          <w:sz w:val="24"/>
        </w:rPr>
        <w:t>oard is comprised of voluntary representatives of insurance investment and legal executives, California Legislators, the Insurance Commissioner, consumer advocate groups, and practitioners in the fields of affordable housing and local economic development throughout the state of California.</w:t>
      </w:r>
    </w:p>
    <w:p w:rsidR="00CE5729" w:rsidRDefault="00CE5729" w:rsidP="005F3C42">
      <w:pPr>
        <w:spacing w:after="120"/>
        <w:contextualSpacing/>
        <w:rPr>
          <w:rFonts w:ascii="Century Gothic" w:hAnsi="Century Gothic" w:cs="Times New Roman"/>
          <w:sz w:val="24"/>
        </w:rPr>
      </w:pPr>
      <w:r w:rsidRPr="003F38A3">
        <w:rPr>
          <w:rFonts w:ascii="Century Gothic" w:hAnsi="Century Gothic" w:cs="Times New Roman"/>
          <w:sz w:val="24"/>
        </w:rPr>
        <w:t>COIN may exercise discretion in determining environmental benefit and benefit to low-</w:t>
      </w:r>
      <w:r w:rsidR="00BE6FB5">
        <w:rPr>
          <w:rFonts w:ascii="Century Gothic" w:hAnsi="Century Gothic" w:cs="Times New Roman"/>
          <w:sz w:val="24"/>
        </w:rPr>
        <w:t xml:space="preserve">to-moderate </w:t>
      </w:r>
      <w:r w:rsidRPr="003F38A3">
        <w:rPr>
          <w:rFonts w:ascii="Century Gothic" w:hAnsi="Century Gothic" w:cs="Times New Roman"/>
          <w:sz w:val="24"/>
        </w:rPr>
        <w:t>income and rural communities other than in areas of green investment and community development investment. It is the intent of COIN’s investment policy to encourage innovation in responding to unmet capital needs of low-</w:t>
      </w:r>
      <w:r w:rsidR="00101C5C">
        <w:rPr>
          <w:rFonts w:ascii="Century Gothic" w:hAnsi="Century Gothic" w:cs="Times New Roman"/>
          <w:sz w:val="24"/>
        </w:rPr>
        <w:t xml:space="preserve">to-moderate </w:t>
      </w:r>
      <w:r w:rsidRPr="003F38A3">
        <w:rPr>
          <w:rFonts w:ascii="Century Gothic" w:hAnsi="Century Gothic" w:cs="Times New Roman"/>
          <w:sz w:val="24"/>
        </w:rPr>
        <w:t>income and rural communities, their residents, businesses and non-profit community service organizations, as well as investments that yield environmental benefits throughout California.</w:t>
      </w:r>
    </w:p>
    <w:p w:rsidR="00DE4DF8" w:rsidRDefault="00DE4DF8" w:rsidP="005F3C42">
      <w:pPr>
        <w:spacing w:after="120"/>
        <w:contextualSpacing/>
        <w:rPr>
          <w:rFonts w:ascii="Century Gothic" w:hAnsi="Century Gothic" w:cs="Times New Roman"/>
          <w:sz w:val="24"/>
        </w:rPr>
      </w:pPr>
    </w:p>
    <w:p w:rsidR="00FF190D" w:rsidRPr="005F3C42" w:rsidRDefault="00FF190D" w:rsidP="005F3C42">
      <w:pPr>
        <w:pStyle w:val="Heading1"/>
        <w:spacing w:before="0" w:after="120"/>
        <w:jc w:val="left"/>
        <w:rPr>
          <w:rFonts w:ascii="Century Gothic" w:hAnsi="Century Gothic"/>
          <w:sz w:val="24"/>
          <w:szCs w:val="24"/>
        </w:rPr>
      </w:pPr>
      <w:bookmarkStart w:id="6" w:name="_Toc371580013"/>
      <w:r w:rsidRPr="005F3C42">
        <w:rPr>
          <w:rFonts w:ascii="Century Gothic" w:hAnsi="Century Gothic"/>
          <w:sz w:val="24"/>
          <w:szCs w:val="24"/>
        </w:rPr>
        <w:t xml:space="preserve">APPLICATION </w:t>
      </w:r>
      <w:bookmarkEnd w:id="6"/>
      <w:r w:rsidR="00264594" w:rsidRPr="005F3C42">
        <w:rPr>
          <w:rFonts w:ascii="Century Gothic" w:hAnsi="Century Gothic"/>
          <w:sz w:val="24"/>
          <w:szCs w:val="24"/>
        </w:rPr>
        <w:t>PROCESS</w:t>
      </w:r>
    </w:p>
    <w:p w:rsidR="00FF190D" w:rsidRPr="00876EED" w:rsidRDefault="00FF190D" w:rsidP="005F3C42">
      <w:pPr>
        <w:spacing w:after="120"/>
        <w:contextualSpacing/>
        <w:rPr>
          <w:rFonts w:ascii="Century Gothic" w:hAnsi="Century Gothic" w:cs="Times New Roman"/>
          <w:sz w:val="24"/>
          <w:szCs w:val="24"/>
        </w:rPr>
      </w:pPr>
      <w:r w:rsidRPr="00FA7698">
        <w:rPr>
          <w:rFonts w:ascii="Century Gothic" w:hAnsi="Century Gothic" w:cs="Times New Roman"/>
          <w:sz w:val="24"/>
          <w:szCs w:val="24"/>
        </w:rPr>
        <w:t>COIN maintains an open window application process</w:t>
      </w:r>
      <w:r w:rsidRPr="008A2E03">
        <w:rPr>
          <w:rFonts w:ascii="Century Gothic" w:hAnsi="Century Gothic" w:cs="Times New Roman"/>
          <w:sz w:val="24"/>
          <w:szCs w:val="24"/>
        </w:rPr>
        <w:t xml:space="preserve"> with applications to </w:t>
      </w:r>
      <w:r w:rsidR="006628AD" w:rsidRPr="008A2E03">
        <w:rPr>
          <w:rFonts w:ascii="Century Gothic" w:hAnsi="Century Gothic" w:cs="Times New Roman"/>
          <w:sz w:val="24"/>
          <w:szCs w:val="24"/>
        </w:rPr>
        <w:t>be continuously received via email or directly mailed to the department</w:t>
      </w:r>
      <w:r w:rsidRPr="00876EED">
        <w:rPr>
          <w:rFonts w:ascii="Century Gothic" w:hAnsi="Century Gothic" w:cs="Times New Roman"/>
          <w:sz w:val="24"/>
          <w:szCs w:val="24"/>
        </w:rPr>
        <w:t>.</w:t>
      </w:r>
    </w:p>
    <w:p w:rsidR="00FF190D" w:rsidRPr="00876EED" w:rsidRDefault="00FF190D" w:rsidP="005F3C42">
      <w:pPr>
        <w:spacing w:after="120"/>
        <w:rPr>
          <w:rFonts w:ascii="Century Gothic" w:hAnsi="Century Gothic" w:cs="Times New Roman"/>
          <w:sz w:val="24"/>
          <w:szCs w:val="24"/>
        </w:rPr>
      </w:pPr>
      <w:r w:rsidRPr="00876EED">
        <w:rPr>
          <w:rFonts w:ascii="Century Gothic" w:hAnsi="Century Gothic" w:cs="Times New Roman"/>
          <w:sz w:val="24"/>
          <w:szCs w:val="24"/>
        </w:rPr>
        <w:t>COIN will review applications to determine compliance with the investment policy. All applicants must satisfy the investment policy to be deemed eligible for COIN bulletin investments. In the event an applicant does not meet the investment policy, COIN will communicate the reasons, offer technical assistance, and if desired by the applicant, assist to revise the proposal in a manner consistent with the investment policy, to the extent possible.</w:t>
      </w:r>
    </w:p>
    <w:p w:rsidR="00FF190D" w:rsidRDefault="00FF190D" w:rsidP="005F3C42">
      <w:pPr>
        <w:spacing w:after="120"/>
        <w:rPr>
          <w:rFonts w:ascii="Century Gothic" w:hAnsi="Century Gothic" w:cs="Times New Roman"/>
          <w:sz w:val="24"/>
          <w:szCs w:val="24"/>
        </w:rPr>
      </w:pPr>
      <w:r w:rsidRPr="00876EED">
        <w:rPr>
          <w:rFonts w:ascii="Century Gothic" w:hAnsi="Century Gothic" w:cs="Times New Roman"/>
          <w:sz w:val="24"/>
          <w:szCs w:val="24"/>
        </w:rPr>
        <w:t>COIN will notify the applicant of the results of the investment policy review upon completion of the eligibility review of the application.</w:t>
      </w:r>
    </w:p>
    <w:p w:rsidR="00DE4DF8" w:rsidRPr="00876EED" w:rsidRDefault="00DE4DF8" w:rsidP="005F3C42">
      <w:pPr>
        <w:spacing w:after="120"/>
        <w:rPr>
          <w:rFonts w:ascii="Century Gothic" w:hAnsi="Century Gothic" w:cs="Times New Roman"/>
          <w:sz w:val="24"/>
          <w:szCs w:val="24"/>
        </w:rPr>
      </w:pPr>
    </w:p>
    <w:p w:rsidR="00264594" w:rsidRPr="005F3C42" w:rsidRDefault="00264594" w:rsidP="005F3C42">
      <w:pPr>
        <w:spacing w:after="120"/>
        <w:rPr>
          <w:rFonts w:ascii="Century Gothic" w:hAnsi="Century Gothic" w:cs="Times New Roman"/>
          <w:b/>
          <w:sz w:val="24"/>
          <w:szCs w:val="24"/>
        </w:rPr>
      </w:pPr>
      <w:r w:rsidRPr="005F3C42">
        <w:rPr>
          <w:rFonts w:ascii="Century Gothic" w:hAnsi="Century Gothic" w:cs="Times New Roman"/>
          <w:b/>
          <w:sz w:val="24"/>
          <w:szCs w:val="24"/>
        </w:rPr>
        <w:t>APPROVED INVESTMENTS</w:t>
      </w:r>
    </w:p>
    <w:p w:rsidR="00F56A5E" w:rsidRDefault="00FF190D" w:rsidP="005F3C42">
      <w:pPr>
        <w:spacing w:before="100" w:beforeAutospacing="1" w:after="120" w:line="240" w:lineRule="auto"/>
        <w:contextualSpacing/>
        <w:rPr>
          <w:rFonts w:ascii="Century Gothic" w:hAnsi="Century Gothic" w:cs="Times New Roman"/>
          <w:sz w:val="24"/>
          <w:szCs w:val="24"/>
        </w:rPr>
      </w:pPr>
      <w:r w:rsidRPr="00F04797">
        <w:rPr>
          <w:rFonts w:ascii="Century Gothic" w:hAnsi="Century Gothic" w:cs="Times New Roman"/>
          <w:sz w:val="24"/>
          <w:szCs w:val="24"/>
        </w:rPr>
        <w:t xml:space="preserve">Proposals which are deemed eligible for a COIN facilitated investment will be made available through the Department’s bulletin process and </w:t>
      </w:r>
      <w:r w:rsidR="006628AD" w:rsidRPr="00F04797">
        <w:rPr>
          <w:rFonts w:ascii="Century Gothic" w:hAnsi="Century Gothic" w:cs="Times New Roman"/>
          <w:sz w:val="24"/>
          <w:szCs w:val="24"/>
        </w:rPr>
        <w:t>available</w:t>
      </w:r>
      <w:r w:rsidRPr="00F04797">
        <w:rPr>
          <w:rFonts w:ascii="Century Gothic" w:hAnsi="Century Gothic" w:cs="Times New Roman"/>
          <w:sz w:val="24"/>
          <w:szCs w:val="24"/>
        </w:rPr>
        <w:t xml:space="preserve"> to all insurance companies doing business in California. COIN will be responsible for tracking COIN-facilitated investments.</w:t>
      </w:r>
    </w:p>
    <w:p w:rsidR="00F56A5E" w:rsidRPr="00F04797" w:rsidRDefault="00F56A5E" w:rsidP="005F3C42">
      <w:pPr>
        <w:spacing w:before="100" w:beforeAutospacing="1" w:after="120" w:line="240" w:lineRule="auto"/>
        <w:contextualSpacing/>
        <w:rPr>
          <w:rFonts w:ascii="Century Gothic" w:hAnsi="Century Gothic" w:cs="Times New Roman"/>
          <w:sz w:val="24"/>
          <w:szCs w:val="24"/>
        </w:rPr>
      </w:pPr>
    </w:p>
    <w:p w:rsidR="004C4E25" w:rsidRDefault="00EB7127" w:rsidP="005F3C42">
      <w:pPr>
        <w:spacing w:before="100" w:beforeAutospacing="1" w:after="120" w:line="240" w:lineRule="auto"/>
        <w:contextualSpacing/>
        <w:rPr>
          <w:rFonts w:ascii="Century Gothic" w:hAnsi="Century Gothic" w:cs="Times New Roman"/>
          <w:sz w:val="24"/>
          <w:szCs w:val="24"/>
        </w:rPr>
      </w:pPr>
      <w:r w:rsidRPr="00F56A5E">
        <w:rPr>
          <w:rFonts w:ascii="Century Gothic" w:hAnsi="Century Gothic" w:cs="Times New Roman"/>
          <w:sz w:val="24"/>
          <w:szCs w:val="24"/>
        </w:rPr>
        <w:t xml:space="preserve">COIN approval of the </w:t>
      </w:r>
      <w:r w:rsidR="003E23E5" w:rsidRPr="00F56A5E">
        <w:rPr>
          <w:rFonts w:ascii="Century Gothic" w:hAnsi="Century Gothic" w:cs="Times New Roman"/>
          <w:sz w:val="24"/>
          <w:szCs w:val="24"/>
        </w:rPr>
        <w:t>High Impact Investment B</w:t>
      </w:r>
      <w:r w:rsidRPr="00F56A5E">
        <w:rPr>
          <w:rFonts w:ascii="Century Gothic" w:hAnsi="Century Gothic" w:cs="Times New Roman"/>
          <w:sz w:val="24"/>
          <w:szCs w:val="24"/>
        </w:rPr>
        <w:t>ulletins</w:t>
      </w:r>
      <w:r w:rsidR="006628AD" w:rsidRPr="00F56A5E">
        <w:rPr>
          <w:rFonts w:ascii="Century Gothic" w:hAnsi="Century Gothic" w:cs="Times New Roman"/>
          <w:sz w:val="24"/>
          <w:szCs w:val="24"/>
        </w:rPr>
        <w:t xml:space="preserve"> are</w:t>
      </w:r>
      <w:r w:rsidRPr="00F56A5E">
        <w:rPr>
          <w:rFonts w:ascii="Century Gothic" w:hAnsi="Century Gothic" w:cs="Times New Roman"/>
          <w:sz w:val="24"/>
          <w:szCs w:val="24"/>
        </w:rPr>
        <w:t xml:space="preserve"> valid for no more than one calendar year </w:t>
      </w:r>
      <w:r w:rsidR="006628AD" w:rsidRPr="00F56A5E">
        <w:rPr>
          <w:rFonts w:ascii="Century Gothic" w:hAnsi="Century Gothic" w:cs="Times New Roman"/>
          <w:sz w:val="24"/>
          <w:szCs w:val="24"/>
        </w:rPr>
        <w:t xml:space="preserve">(after capital is raised) </w:t>
      </w:r>
      <w:r w:rsidRPr="00F56A5E">
        <w:rPr>
          <w:rFonts w:ascii="Century Gothic" w:hAnsi="Century Gothic" w:cs="Times New Roman"/>
          <w:sz w:val="24"/>
          <w:szCs w:val="24"/>
        </w:rPr>
        <w:t>and COIN will request updated information annually</w:t>
      </w:r>
      <w:r w:rsidR="0091326B" w:rsidRPr="00F56A5E">
        <w:rPr>
          <w:rFonts w:ascii="Century Gothic" w:hAnsi="Century Gothic" w:cs="Times New Roman"/>
          <w:sz w:val="24"/>
          <w:szCs w:val="24"/>
        </w:rPr>
        <w:t>.</w:t>
      </w:r>
      <w:r w:rsidRPr="00F56A5E">
        <w:rPr>
          <w:rFonts w:ascii="Century Gothic" w:hAnsi="Century Gothic" w:cs="Times New Roman"/>
          <w:sz w:val="24"/>
          <w:szCs w:val="24"/>
        </w:rPr>
        <w:t xml:space="preserve"> </w:t>
      </w:r>
      <w:r w:rsidR="0091326B" w:rsidRPr="00F56A5E">
        <w:rPr>
          <w:rFonts w:ascii="Century Gothic" w:hAnsi="Century Gothic" w:cs="Times New Roman"/>
          <w:sz w:val="24"/>
          <w:szCs w:val="24"/>
        </w:rPr>
        <w:t xml:space="preserve">Once </w:t>
      </w:r>
      <w:r w:rsidRPr="00F56A5E">
        <w:rPr>
          <w:rFonts w:ascii="Century Gothic" w:hAnsi="Century Gothic" w:cs="Times New Roman"/>
          <w:sz w:val="24"/>
          <w:szCs w:val="24"/>
        </w:rPr>
        <w:t xml:space="preserve">the purpose or the effect of the </w:t>
      </w:r>
      <w:r w:rsidRPr="00F56A5E">
        <w:rPr>
          <w:rFonts w:ascii="Century Gothic" w:hAnsi="Century Gothic" w:cs="Times New Roman"/>
          <w:sz w:val="24"/>
          <w:szCs w:val="24"/>
        </w:rPr>
        <w:lastRenderedPageBreak/>
        <w:t>investment differs from originally portrayed, COIN reserve</w:t>
      </w:r>
      <w:r w:rsidR="0091326B" w:rsidRPr="00F56A5E">
        <w:rPr>
          <w:rFonts w:ascii="Century Gothic" w:hAnsi="Century Gothic" w:cs="Times New Roman"/>
          <w:sz w:val="24"/>
          <w:szCs w:val="24"/>
        </w:rPr>
        <w:t>s</w:t>
      </w:r>
      <w:r w:rsidRPr="00F56A5E">
        <w:rPr>
          <w:rFonts w:ascii="Century Gothic" w:hAnsi="Century Gothic" w:cs="Times New Roman"/>
          <w:sz w:val="24"/>
          <w:szCs w:val="24"/>
        </w:rPr>
        <w:t xml:space="preserve"> the right to withdraw the designation of COIN High Impact Investment Bulletins.</w:t>
      </w:r>
    </w:p>
    <w:p w:rsidR="009667C4" w:rsidRPr="00F04797" w:rsidRDefault="009667C4" w:rsidP="005F3C42">
      <w:pPr>
        <w:spacing w:before="100" w:beforeAutospacing="1" w:after="120" w:line="240" w:lineRule="auto"/>
        <w:contextualSpacing/>
        <w:rPr>
          <w:rFonts w:ascii="Century Gothic" w:hAnsi="Century Gothic" w:cs="Times New Roman"/>
          <w:sz w:val="24"/>
        </w:rPr>
      </w:pPr>
    </w:p>
    <w:p w:rsidR="00F760D6" w:rsidRPr="003F38A3" w:rsidRDefault="004C4E25" w:rsidP="00F760D6">
      <w:pPr>
        <w:rPr>
          <w:rFonts w:ascii="Century Gothic" w:hAnsi="Century Gothic" w:cs="Times New Roman"/>
          <w:b/>
          <w:sz w:val="24"/>
        </w:rPr>
      </w:pPr>
      <w:r>
        <w:rPr>
          <w:rFonts w:ascii="Century Gothic" w:hAnsi="Century Gothic" w:cs="Times New Roman"/>
          <w:b/>
          <w:sz w:val="24"/>
        </w:rPr>
        <w:t xml:space="preserve">TYPES AND AMOUNTS OF INVESTMENTS </w:t>
      </w:r>
    </w:p>
    <w:p w:rsidR="00F760D6" w:rsidRPr="003F38A3" w:rsidRDefault="00F760D6" w:rsidP="00F760D6">
      <w:pPr>
        <w:rPr>
          <w:rFonts w:ascii="Century Gothic" w:hAnsi="Century Gothic" w:cs="Times New Roman"/>
          <w:sz w:val="24"/>
        </w:rPr>
      </w:pPr>
      <w:r w:rsidRPr="003F38A3">
        <w:rPr>
          <w:rFonts w:ascii="Century Gothic" w:hAnsi="Century Gothic" w:cs="Times New Roman"/>
          <w:sz w:val="24"/>
        </w:rPr>
        <w:t>COIN intends to facilitate the offering of a comprehensive array of investment products responsive to capital needs of low-</w:t>
      </w:r>
      <w:r w:rsidR="001B3C6D">
        <w:rPr>
          <w:rFonts w:ascii="Century Gothic" w:hAnsi="Century Gothic" w:cs="Times New Roman"/>
          <w:sz w:val="24"/>
        </w:rPr>
        <w:t xml:space="preserve">to-moderate </w:t>
      </w:r>
      <w:r w:rsidRPr="003F38A3">
        <w:rPr>
          <w:rFonts w:ascii="Century Gothic" w:hAnsi="Century Gothic" w:cs="Times New Roman"/>
          <w:sz w:val="24"/>
        </w:rPr>
        <w:t>income and rural communities</w:t>
      </w:r>
      <w:r w:rsidR="008C4A7C" w:rsidRPr="003F38A3">
        <w:rPr>
          <w:rFonts w:ascii="Century Gothic" w:hAnsi="Century Gothic" w:cs="Times New Roman"/>
          <w:sz w:val="24"/>
        </w:rPr>
        <w:t>, as well as green investment</w:t>
      </w:r>
      <w:r w:rsidR="00FA7698">
        <w:rPr>
          <w:rFonts w:ascii="Century Gothic" w:hAnsi="Century Gothic" w:cs="Times New Roman"/>
          <w:sz w:val="24"/>
        </w:rPr>
        <w:t>s</w:t>
      </w:r>
      <w:r w:rsidR="008C4A7C" w:rsidRPr="003F38A3">
        <w:rPr>
          <w:rFonts w:ascii="Century Gothic" w:hAnsi="Century Gothic" w:cs="Times New Roman"/>
          <w:sz w:val="24"/>
        </w:rPr>
        <w:t xml:space="preserve"> that yield environmental benefit</w:t>
      </w:r>
      <w:r w:rsidR="00FA7698">
        <w:rPr>
          <w:rFonts w:ascii="Century Gothic" w:hAnsi="Century Gothic" w:cs="Times New Roman"/>
          <w:sz w:val="24"/>
        </w:rPr>
        <w:t>s</w:t>
      </w:r>
      <w:r w:rsidRPr="003F38A3">
        <w:rPr>
          <w:rFonts w:ascii="Century Gothic" w:hAnsi="Century Gothic" w:cs="Times New Roman"/>
          <w:sz w:val="24"/>
        </w:rPr>
        <w:t>. Accordingly, the COIN investment policy envisions no limit on the type or nature of capital investment which insurance companies may provide to eligible proposers. However, broadly categorized, COIN-facilitated investment products may be versions of debt, equity, or credit enhancement.</w:t>
      </w:r>
      <w:r w:rsidR="005D7510" w:rsidRPr="003F38A3">
        <w:rPr>
          <w:rFonts w:ascii="Century Gothic" w:hAnsi="Century Gothic" w:cs="Times New Roman"/>
          <w:sz w:val="24"/>
        </w:rPr>
        <w:t xml:space="preserve"> </w:t>
      </w:r>
      <w:r w:rsidR="00201C2B" w:rsidRPr="003F38A3">
        <w:rPr>
          <w:rFonts w:ascii="Century Gothic" w:hAnsi="Century Gothic" w:cs="Times New Roman"/>
          <w:sz w:val="24"/>
        </w:rPr>
        <w:t xml:space="preserve">(See Appendix </w:t>
      </w:r>
      <w:r w:rsidR="005D7510" w:rsidRPr="003F38A3">
        <w:rPr>
          <w:rFonts w:ascii="Century Gothic" w:hAnsi="Century Gothic" w:cs="Times New Roman"/>
          <w:sz w:val="24"/>
        </w:rPr>
        <w:t>I</w:t>
      </w:r>
      <w:r w:rsidR="007A117B">
        <w:rPr>
          <w:rFonts w:ascii="Century Gothic" w:hAnsi="Century Gothic" w:cs="Times New Roman"/>
          <w:sz w:val="24"/>
        </w:rPr>
        <w:t>I</w:t>
      </w:r>
      <w:r w:rsidR="00201C2B" w:rsidRPr="003F38A3">
        <w:rPr>
          <w:rFonts w:ascii="Century Gothic" w:hAnsi="Century Gothic" w:cs="Times New Roman"/>
          <w:sz w:val="24"/>
        </w:rPr>
        <w:t xml:space="preserve"> for examples of qualified asset classes </w:t>
      </w:r>
      <w:r w:rsidR="005D7510" w:rsidRPr="003F38A3">
        <w:rPr>
          <w:rFonts w:ascii="Century Gothic" w:hAnsi="Century Gothic" w:cs="Times New Roman"/>
          <w:sz w:val="24"/>
        </w:rPr>
        <w:t>from NAIC Schedules</w:t>
      </w:r>
      <w:r w:rsidR="00FA7698">
        <w:rPr>
          <w:rFonts w:ascii="Century Gothic" w:hAnsi="Century Gothic" w:cs="Times New Roman"/>
          <w:sz w:val="24"/>
        </w:rPr>
        <w:t>.</w:t>
      </w:r>
      <w:r w:rsidR="00201C2B" w:rsidRPr="003F38A3">
        <w:rPr>
          <w:rFonts w:ascii="Century Gothic" w:hAnsi="Century Gothic" w:cs="Times New Roman"/>
          <w:sz w:val="24"/>
        </w:rPr>
        <w:t>)</w:t>
      </w:r>
    </w:p>
    <w:p w:rsidR="00DE4DF8" w:rsidRDefault="00F760D6" w:rsidP="005F3C42">
      <w:pPr>
        <w:spacing w:after="120"/>
        <w:rPr>
          <w:rFonts w:ascii="Century Gothic" w:hAnsi="Century Gothic" w:cs="Times New Roman"/>
          <w:sz w:val="24"/>
        </w:rPr>
      </w:pPr>
      <w:r w:rsidRPr="003F38A3">
        <w:rPr>
          <w:rFonts w:ascii="Century Gothic" w:hAnsi="Century Gothic" w:cs="Times New Roman"/>
          <w:sz w:val="24"/>
        </w:rPr>
        <w:t>COIN will not solicit proposals for grants or charitable giving. COIN encourages proposers throughout California to be bold, ambitious and innovative in developing proposals for insurance industry funding which complies with COIN’s investment policy. COIN’s investment policy does not envision a limit on the dollar amount of COIN investment proposals and commitments.</w:t>
      </w:r>
    </w:p>
    <w:p w:rsidR="003F38A3" w:rsidRPr="003F38A3" w:rsidRDefault="003F38A3" w:rsidP="005F3C42">
      <w:pPr>
        <w:spacing w:after="120"/>
        <w:rPr>
          <w:rFonts w:ascii="Century Gothic" w:hAnsi="Century Gothic" w:cs="Times New Roman"/>
          <w:sz w:val="24"/>
        </w:rPr>
      </w:pPr>
    </w:p>
    <w:p w:rsidR="004C4E25" w:rsidRDefault="004C4E25" w:rsidP="005F3C42">
      <w:pPr>
        <w:spacing w:after="120"/>
        <w:rPr>
          <w:rFonts w:ascii="Century Gothic" w:hAnsi="Century Gothic" w:cs="Times New Roman"/>
          <w:b/>
          <w:sz w:val="24"/>
        </w:rPr>
      </w:pPr>
      <w:r>
        <w:rPr>
          <w:rFonts w:ascii="Century Gothic" w:hAnsi="Century Gothic" w:cs="Times New Roman"/>
          <w:b/>
          <w:sz w:val="24"/>
        </w:rPr>
        <w:t>THREE GUIDING INVESTMENT PRINCIPLES</w:t>
      </w:r>
    </w:p>
    <w:p w:rsidR="004C4E25" w:rsidRDefault="004C4E25" w:rsidP="005F3C42">
      <w:pPr>
        <w:spacing w:after="120"/>
        <w:rPr>
          <w:rFonts w:ascii="Century Gothic" w:hAnsi="Century Gothic" w:cs="Times New Roman"/>
          <w:sz w:val="24"/>
        </w:rPr>
      </w:pPr>
      <w:r>
        <w:rPr>
          <w:rFonts w:ascii="Century Gothic" w:hAnsi="Century Gothic" w:cs="Times New Roman"/>
          <w:sz w:val="24"/>
        </w:rPr>
        <w:t xml:space="preserve">Investments applying for the bulletin must meet the following </w:t>
      </w:r>
      <w:r w:rsidR="00B15883">
        <w:rPr>
          <w:rFonts w:ascii="Century Gothic" w:hAnsi="Century Gothic" w:cs="Times New Roman"/>
          <w:sz w:val="24"/>
        </w:rPr>
        <w:t>three conditions</w:t>
      </w:r>
      <w:r>
        <w:rPr>
          <w:rFonts w:ascii="Century Gothic" w:hAnsi="Century Gothic" w:cs="Times New Roman"/>
          <w:sz w:val="24"/>
        </w:rPr>
        <w:t>:</w:t>
      </w:r>
    </w:p>
    <w:p w:rsidR="00FA7698" w:rsidRDefault="004C4E25" w:rsidP="005F3C42">
      <w:pPr>
        <w:pStyle w:val="ListParagraph"/>
        <w:numPr>
          <w:ilvl w:val="0"/>
          <w:numId w:val="26"/>
        </w:numPr>
        <w:rPr>
          <w:rFonts w:ascii="Century Gothic" w:hAnsi="Century Gothic" w:cs="Times New Roman"/>
          <w:b/>
          <w:sz w:val="24"/>
        </w:rPr>
      </w:pPr>
      <w:r w:rsidRPr="005F3C42">
        <w:rPr>
          <w:rFonts w:ascii="Century Gothic" w:hAnsi="Century Gothic" w:cs="Times New Roman"/>
          <w:b/>
          <w:sz w:val="24"/>
        </w:rPr>
        <w:t xml:space="preserve">Investment must have no less than </w:t>
      </w:r>
      <w:r>
        <w:rPr>
          <w:rFonts w:ascii="Century Gothic" w:hAnsi="Century Gothic" w:cs="Times New Roman"/>
          <w:b/>
          <w:sz w:val="24"/>
        </w:rPr>
        <w:t>50</w:t>
      </w:r>
      <w:r w:rsidRPr="005F3C42">
        <w:rPr>
          <w:rFonts w:ascii="Century Gothic" w:hAnsi="Century Gothic" w:cs="Times New Roman"/>
          <w:b/>
          <w:sz w:val="24"/>
        </w:rPr>
        <w:t>% of its tota</w:t>
      </w:r>
      <w:r>
        <w:rPr>
          <w:rFonts w:ascii="Century Gothic" w:hAnsi="Century Gothic" w:cs="Times New Roman"/>
          <w:b/>
          <w:sz w:val="24"/>
        </w:rPr>
        <w:t xml:space="preserve">l capital focused in </w:t>
      </w:r>
      <w:r w:rsidR="00BD1508">
        <w:rPr>
          <w:rFonts w:ascii="Century Gothic" w:hAnsi="Century Gothic" w:cs="Times New Roman"/>
          <w:b/>
          <w:sz w:val="24"/>
        </w:rPr>
        <w:t>“</w:t>
      </w:r>
      <w:r>
        <w:rPr>
          <w:rFonts w:ascii="Century Gothic" w:hAnsi="Century Gothic" w:cs="Times New Roman"/>
          <w:b/>
          <w:sz w:val="24"/>
        </w:rPr>
        <w:t>California</w:t>
      </w:r>
      <w:r w:rsidR="00BD1508">
        <w:rPr>
          <w:rFonts w:ascii="Century Gothic" w:hAnsi="Century Gothic" w:cs="Times New Roman"/>
          <w:b/>
          <w:sz w:val="24"/>
        </w:rPr>
        <w:t xml:space="preserve"> C</w:t>
      </w:r>
      <w:r w:rsidR="00F61371">
        <w:rPr>
          <w:rFonts w:ascii="Century Gothic" w:hAnsi="Century Gothic" w:cs="Times New Roman"/>
          <w:b/>
          <w:sz w:val="24"/>
        </w:rPr>
        <w:t>ompanies</w:t>
      </w:r>
      <w:r w:rsidR="00BD1508">
        <w:rPr>
          <w:rFonts w:ascii="Century Gothic" w:hAnsi="Century Gothic" w:cs="Times New Roman"/>
          <w:b/>
          <w:sz w:val="24"/>
        </w:rPr>
        <w:t>”</w:t>
      </w:r>
    </w:p>
    <w:p w:rsidR="00B15883" w:rsidRDefault="00F61371" w:rsidP="005F3C42">
      <w:pPr>
        <w:pStyle w:val="ListParagraph"/>
        <w:numPr>
          <w:ilvl w:val="0"/>
          <w:numId w:val="26"/>
        </w:numPr>
        <w:rPr>
          <w:rFonts w:ascii="Century Gothic" w:hAnsi="Century Gothic" w:cs="Times New Roman"/>
          <w:b/>
          <w:sz w:val="24"/>
        </w:rPr>
      </w:pPr>
      <w:r>
        <w:rPr>
          <w:rFonts w:ascii="Century Gothic" w:hAnsi="Century Gothic" w:cs="Times New Roman"/>
          <w:b/>
          <w:sz w:val="24"/>
        </w:rPr>
        <w:t>Provide either proven social impact to LMI people or communities and/or environmental benefit in California</w:t>
      </w:r>
    </w:p>
    <w:p w:rsidR="00F61371" w:rsidRDefault="00F61371" w:rsidP="005F3C42">
      <w:pPr>
        <w:pStyle w:val="ListParagraph"/>
        <w:numPr>
          <w:ilvl w:val="0"/>
          <w:numId w:val="26"/>
        </w:numPr>
        <w:rPr>
          <w:rFonts w:ascii="Century Gothic" w:hAnsi="Century Gothic" w:cs="Times New Roman"/>
          <w:b/>
          <w:sz w:val="24"/>
        </w:rPr>
      </w:pPr>
      <w:r>
        <w:rPr>
          <w:rFonts w:ascii="Century Gothic" w:hAnsi="Century Gothic" w:cs="Times New Roman"/>
          <w:b/>
          <w:sz w:val="24"/>
        </w:rPr>
        <w:t>Provid</w:t>
      </w:r>
      <w:r w:rsidRPr="00F61371">
        <w:rPr>
          <w:rFonts w:ascii="Century Gothic" w:hAnsi="Century Gothic" w:cs="Times New Roman"/>
          <w:b/>
          <w:sz w:val="24"/>
        </w:rPr>
        <w:t>e safe, sound, and solvent investments offering an acceptable financial return</w:t>
      </w:r>
    </w:p>
    <w:p w:rsidR="007273E7" w:rsidRPr="003F38A3" w:rsidRDefault="007273E7">
      <w:pPr>
        <w:pStyle w:val="ListParagraph"/>
      </w:pPr>
    </w:p>
    <w:p w:rsidR="00C038E2" w:rsidRPr="003F38A3" w:rsidRDefault="00C038E2" w:rsidP="005F3C42">
      <w:pPr>
        <w:pStyle w:val="ListParagraph"/>
        <w:numPr>
          <w:ilvl w:val="0"/>
          <w:numId w:val="4"/>
        </w:numPr>
        <w:ind w:left="360"/>
        <w:rPr>
          <w:rFonts w:ascii="Century Gothic" w:hAnsi="Century Gothic" w:cs="Times New Roman"/>
          <w:b/>
          <w:sz w:val="24"/>
          <w:u w:val="single"/>
        </w:rPr>
      </w:pPr>
      <w:r w:rsidRPr="003F38A3">
        <w:rPr>
          <w:rFonts w:ascii="Century Gothic" w:hAnsi="Century Gothic" w:cs="Times New Roman"/>
          <w:b/>
          <w:sz w:val="24"/>
          <w:u w:val="single"/>
        </w:rPr>
        <w:t xml:space="preserve">Investment must have no less than </w:t>
      </w:r>
      <w:r w:rsidR="00F61371">
        <w:rPr>
          <w:rFonts w:ascii="Century Gothic" w:hAnsi="Century Gothic" w:cs="Times New Roman"/>
          <w:b/>
          <w:sz w:val="24"/>
          <w:u w:val="single"/>
        </w:rPr>
        <w:t>50</w:t>
      </w:r>
      <w:r w:rsidRPr="003F38A3">
        <w:rPr>
          <w:rFonts w:ascii="Century Gothic" w:hAnsi="Century Gothic" w:cs="Times New Roman"/>
          <w:b/>
          <w:sz w:val="24"/>
          <w:u w:val="single"/>
        </w:rPr>
        <w:t xml:space="preserve">% of its total capital focused in </w:t>
      </w:r>
      <w:r w:rsidR="00CE44E3">
        <w:rPr>
          <w:rFonts w:ascii="Century Gothic" w:hAnsi="Century Gothic" w:cs="Times New Roman"/>
          <w:b/>
          <w:sz w:val="24"/>
          <w:u w:val="single"/>
        </w:rPr>
        <w:t>“</w:t>
      </w:r>
      <w:r w:rsidRPr="003F38A3">
        <w:rPr>
          <w:rFonts w:ascii="Century Gothic" w:hAnsi="Century Gothic" w:cs="Times New Roman"/>
          <w:b/>
          <w:sz w:val="24"/>
          <w:u w:val="single"/>
        </w:rPr>
        <w:t>California</w:t>
      </w:r>
      <w:r w:rsidR="00CE44E3">
        <w:rPr>
          <w:rFonts w:ascii="Century Gothic" w:hAnsi="Century Gothic" w:cs="Times New Roman"/>
          <w:b/>
          <w:sz w:val="24"/>
          <w:u w:val="single"/>
        </w:rPr>
        <w:t xml:space="preserve"> C</w:t>
      </w:r>
      <w:r w:rsidR="00F61371">
        <w:rPr>
          <w:rFonts w:ascii="Century Gothic" w:hAnsi="Century Gothic" w:cs="Times New Roman"/>
          <w:b/>
          <w:sz w:val="24"/>
          <w:u w:val="single"/>
        </w:rPr>
        <w:t>ompanies</w:t>
      </w:r>
      <w:r w:rsidR="00CE44E3">
        <w:rPr>
          <w:rFonts w:ascii="Century Gothic" w:hAnsi="Century Gothic" w:cs="Times New Roman"/>
          <w:b/>
          <w:sz w:val="24"/>
          <w:u w:val="single"/>
        </w:rPr>
        <w:t>”</w:t>
      </w:r>
    </w:p>
    <w:p w:rsidR="00201C2B" w:rsidRPr="003F38A3" w:rsidRDefault="00201C2B" w:rsidP="00201C2B">
      <w:pPr>
        <w:pStyle w:val="ListParagraph"/>
        <w:ind w:left="360"/>
        <w:rPr>
          <w:rFonts w:ascii="Century Gothic" w:hAnsi="Century Gothic" w:cs="Times New Roman"/>
          <w:sz w:val="24"/>
        </w:rPr>
      </w:pPr>
    </w:p>
    <w:p w:rsidR="007A0230" w:rsidRDefault="00F61371" w:rsidP="007A0230">
      <w:pPr>
        <w:pStyle w:val="ListParagraph"/>
        <w:ind w:left="360"/>
        <w:rPr>
          <w:rFonts w:ascii="Century Gothic" w:hAnsi="Century Gothic" w:cs="Times New Roman"/>
          <w:sz w:val="24"/>
        </w:rPr>
      </w:pPr>
      <w:r>
        <w:rPr>
          <w:rFonts w:ascii="Century Gothic" w:hAnsi="Century Gothic" w:cs="Times New Roman"/>
          <w:sz w:val="24"/>
        </w:rPr>
        <w:t>To qualify</w:t>
      </w:r>
      <w:r w:rsidR="004815FF">
        <w:rPr>
          <w:rFonts w:ascii="Century Gothic" w:hAnsi="Century Gothic" w:cs="Times New Roman"/>
          <w:sz w:val="24"/>
        </w:rPr>
        <w:t xml:space="preserve"> for the COIN High Impact Investment Bulletin</w:t>
      </w:r>
      <w:r>
        <w:rPr>
          <w:rFonts w:ascii="Century Gothic" w:hAnsi="Century Gothic" w:cs="Times New Roman"/>
          <w:sz w:val="24"/>
        </w:rPr>
        <w:t xml:space="preserve">, an investment must have at least 50% of its total capital directed in companies </w:t>
      </w:r>
      <w:r w:rsidR="00C739CD">
        <w:rPr>
          <w:rFonts w:ascii="Century Gothic" w:hAnsi="Century Gothic" w:cs="Times New Roman"/>
          <w:sz w:val="24"/>
        </w:rPr>
        <w:t>considered to be a “</w:t>
      </w:r>
      <w:r w:rsidR="00D46F54">
        <w:rPr>
          <w:rFonts w:ascii="Century Gothic" w:hAnsi="Century Gothic" w:cs="Times New Roman"/>
          <w:sz w:val="24"/>
        </w:rPr>
        <w:t>California</w:t>
      </w:r>
      <w:r w:rsidR="00C739CD">
        <w:rPr>
          <w:rFonts w:ascii="Century Gothic" w:hAnsi="Century Gothic" w:cs="Times New Roman"/>
          <w:sz w:val="24"/>
        </w:rPr>
        <w:t xml:space="preserve"> </w:t>
      </w:r>
      <w:r w:rsidR="007A0230">
        <w:rPr>
          <w:rFonts w:ascii="Century Gothic" w:hAnsi="Century Gothic" w:cs="Times New Roman"/>
          <w:sz w:val="24"/>
        </w:rPr>
        <w:t>Project</w:t>
      </w:r>
      <w:r w:rsidR="00C739CD">
        <w:rPr>
          <w:rFonts w:ascii="Century Gothic" w:hAnsi="Century Gothic" w:cs="Times New Roman"/>
          <w:sz w:val="24"/>
        </w:rPr>
        <w:t>.”</w:t>
      </w:r>
      <w:r w:rsidR="00D46F54">
        <w:rPr>
          <w:rFonts w:ascii="Century Gothic" w:hAnsi="Century Gothic" w:cs="Times New Roman"/>
          <w:sz w:val="24"/>
        </w:rPr>
        <w:t xml:space="preserve"> </w:t>
      </w:r>
      <w:r w:rsidR="00C739CD" w:rsidRPr="00C739CD">
        <w:rPr>
          <w:rFonts w:ascii="Century Gothic" w:hAnsi="Century Gothic" w:cs="Times New Roman"/>
          <w:sz w:val="24"/>
        </w:rPr>
        <w:t xml:space="preserve">A </w:t>
      </w:r>
      <w:r w:rsidR="007A0230">
        <w:rPr>
          <w:rFonts w:ascii="Century Gothic" w:hAnsi="Century Gothic" w:cs="Times New Roman"/>
          <w:sz w:val="24"/>
        </w:rPr>
        <w:t>“</w:t>
      </w:r>
      <w:r w:rsidR="007A0230" w:rsidRPr="007A0230">
        <w:rPr>
          <w:rFonts w:ascii="Century Gothic" w:hAnsi="Century Gothic" w:cs="Times New Roman"/>
          <w:sz w:val="24"/>
        </w:rPr>
        <w:t>California Project” means the investments meets at least one of the following criteria:</w:t>
      </w:r>
    </w:p>
    <w:p w:rsidR="007A0230" w:rsidRPr="007A0230" w:rsidRDefault="007A0230" w:rsidP="007A0230">
      <w:pPr>
        <w:pStyle w:val="ListParagraph"/>
        <w:ind w:left="360"/>
        <w:rPr>
          <w:rFonts w:ascii="Century Gothic" w:hAnsi="Century Gothic" w:cs="Times New Roman"/>
          <w:sz w:val="24"/>
        </w:rPr>
      </w:pPr>
    </w:p>
    <w:p w:rsidR="007A0230" w:rsidRPr="007A0230" w:rsidRDefault="007A0230" w:rsidP="007A0230">
      <w:pPr>
        <w:pStyle w:val="ListParagraph"/>
        <w:ind w:left="360"/>
        <w:rPr>
          <w:rFonts w:ascii="Century Gothic" w:hAnsi="Century Gothic" w:cs="Times New Roman"/>
          <w:sz w:val="24"/>
        </w:rPr>
      </w:pPr>
      <w:r w:rsidRPr="007A0230">
        <w:rPr>
          <w:rFonts w:ascii="Century Gothic" w:hAnsi="Century Gothic" w:cs="Times New Roman"/>
          <w:sz w:val="24"/>
        </w:rPr>
        <w:t>1.</w:t>
      </w:r>
      <w:r w:rsidRPr="007A0230">
        <w:rPr>
          <w:rFonts w:ascii="Century Gothic" w:hAnsi="Century Gothic" w:cs="Times New Roman"/>
          <w:sz w:val="24"/>
        </w:rPr>
        <w:tab/>
        <w:t>The underlying collaterals for the commercial and residential mortgage investmen</w:t>
      </w:r>
      <w:r>
        <w:rPr>
          <w:rFonts w:ascii="Century Gothic" w:hAnsi="Century Gothic" w:cs="Times New Roman"/>
          <w:sz w:val="24"/>
        </w:rPr>
        <w:t>ts in Schedule A and Schedule B:</w:t>
      </w:r>
    </w:p>
    <w:p w:rsidR="007A0230" w:rsidRPr="007A0230" w:rsidRDefault="007A0230" w:rsidP="005F3C42">
      <w:pPr>
        <w:pStyle w:val="ListParagraph"/>
        <w:ind w:left="360" w:firstLine="360"/>
        <w:rPr>
          <w:rFonts w:ascii="Century Gothic" w:hAnsi="Century Gothic" w:cs="Times New Roman"/>
          <w:sz w:val="24"/>
        </w:rPr>
      </w:pPr>
      <w:r>
        <w:rPr>
          <w:rFonts w:ascii="Century Gothic" w:hAnsi="Century Gothic" w:cs="Times New Roman"/>
          <w:sz w:val="24"/>
        </w:rPr>
        <w:t>a</w:t>
      </w:r>
      <w:r w:rsidRPr="007A0230">
        <w:rPr>
          <w:rFonts w:ascii="Century Gothic" w:hAnsi="Century Gothic" w:cs="Times New Roman"/>
          <w:sz w:val="24"/>
        </w:rPr>
        <w:t>)</w:t>
      </w:r>
      <w:r w:rsidRPr="007A0230">
        <w:rPr>
          <w:rFonts w:ascii="Century Gothic" w:hAnsi="Century Gothic" w:cs="Times New Roman"/>
          <w:sz w:val="24"/>
        </w:rPr>
        <w:tab/>
        <w:t>Locate</w:t>
      </w:r>
      <w:r w:rsidR="006F3DAD">
        <w:rPr>
          <w:rFonts w:ascii="Century Gothic" w:hAnsi="Century Gothic" w:cs="Times New Roman"/>
          <w:sz w:val="24"/>
        </w:rPr>
        <w:t xml:space="preserve">d </w:t>
      </w:r>
      <w:r w:rsidR="009F442D">
        <w:rPr>
          <w:rFonts w:ascii="Century Gothic" w:hAnsi="Century Gothic" w:cs="Times New Roman"/>
          <w:sz w:val="24"/>
        </w:rPr>
        <w:t xml:space="preserve">in </w:t>
      </w:r>
      <w:r w:rsidR="006F3DAD">
        <w:rPr>
          <w:rFonts w:ascii="Century Gothic" w:hAnsi="Century Gothic" w:cs="Times New Roman"/>
          <w:sz w:val="24"/>
        </w:rPr>
        <w:t>Low-to-</w:t>
      </w:r>
      <w:r w:rsidRPr="007A0230">
        <w:rPr>
          <w:rFonts w:ascii="Century Gothic" w:hAnsi="Century Gothic" w:cs="Times New Roman"/>
          <w:sz w:val="24"/>
        </w:rPr>
        <w:t>Moderate Income Area</w:t>
      </w:r>
      <w:r w:rsidR="006F3DAD">
        <w:rPr>
          <w:rFonts w:ascii="Century Gothic" w:hAnsi="Century Gothic" w:cs="Times New Roman"/>
          <w:sz w:val="24"/>
        </w:rPr>
        <w:t xml:space="preserve"> in California</w:t>
      </w:r>
    </w:p>
    <w:p w:rsidR="007A0230" w:rsidRDefault="007A0230" w:rsidP="005F3C42">
      <w:pPr>
        <w:pStyle w:val="ListParagraph"/>
        <w:ind w:left="360" w:firstLine="360"/>
        <w:rPr>
          <w:rFonts w:ascii="Century Gothic" w:hAnsi="Century Gothic" w:cs="Times New Roman"/>
          <w:sz w:val="24"/>
        </w:rPr>
      </w:pPr>
      <w:r>
        <w:rPr>
          <w:rFonts w:ascii="Century Gothic" w:hAnsi="Century Gothic" w:cs="Times New Roman"/>
          <w:sz w:val="24"/>
        </w:rPr>
        <w:t>b</w:t>
      </w:r>
      <w:r w:rsidR="00FE247E">
        <w:rPr>
          <w:rFonts w:ascii="Century Gothic" w:hAnsi="Century Gothic" w:cs="Times New Roman"/>
          <w:sz w:val="24"/>
        </w:rPr>
        <w:t>)</w:t>
      </w:r>
      <w:r w:rsidR="00FE247E">
        <w:rPr>
          <w:rFonts w:ascii="Century Gothic" w:hAnsi="Century Gothic" w:cs="Times New Roman"/>
          <w:sz w:val="24"/>
        </w:rPr>
        <w:tab/>
        <w:t>Purposed for Low-to-</w:t>
      </w:r>
      <w:r w:rsidRPr="007A0230">
        <w:rPr>
          <w:rFonts w:ascii="Century Gothic" w:hAnsi="Century Gothic" w:cs="Times New Roman"/>
          <w:sz w:val="24"/>
        </w:rPr>
        <w:t>Moderate Income People in California</w:t>
      </w:r>
    </w:p>
    <w:p w:rsidR="007A0230" w:rsidRPr="007A0230" w:rsidRDefault="007A0230" w:rsidP="007A0230">
      <w:pPr>
        <w:pStyle w:val="ListParagraph"/>
        <w:ind w:left="360"/>
        <w:rPr>
          <w:rFonts w:ascii="Century Gothic" w:hAnsi="Century Gothic" w:cs="Times New Roman"/>
          <w:sz w:val="24"/>
        </w:rPr>
      </w:pPr>
    </w:p>
    <w:p w:rsidR="007A0230" w:rsidRPr="007A0230" w:rsidRDefault="007A0230" w:rsidP="007A0230">
      <w:pPr>
        <w:pStyle w:val="ListParagraph"/>
        <w:ind w:left="360"/>
        <w:rPr>
          <w:rFonts w:ascii="Century Gothic" w:hAnsi="Century Gothic" w:cs="Times New Roman"/>
          <w:sz w:val="24"/>
        </w:rPr>
      </w:pPr>
      <w:r w:rsidRPr="007A0230">
        <w:rPr>
          <w:rFonts w:ascii="Century Gothic" w:hAnsi="Century Gothic" w:cs="Times New Roman"/>
          <w:sz w:val="24"/>
        </w:rPr>
        <w:t>2.</w:t>
      </w:r>
      <w:r w:rsidRPr="007A0230">
        <w:rPr>
          <w:rFonts w:ascii="Century Gothic" w:hAnsi="Century Gothic" w:cs="Times New Roman"/>
          <w:sz w:val="24"/>
        </w:rPr>
        <w:tab/>
        <w:t>The invested companies in the private funds in Schedule BA and Schedule D would have</w:t>
      </w:r>
      <w:r>
        <w:rPr>
          <w:rFonts w:ascii="Century Gothic" w:hAnsi="Century Gothic" w:cs="Times New Roman"/>
          <w:sz w:val="24"/>
        </w:rPr>
        <w:t>:</w:t>
      </w:r>
    </w:p>
    <w:p w:rsidR="007A0230" w:rsidRPr="007A0230" w:rsidRDefault="007A0230" w:rsidP="005F3C42">
      <w:pPr>
        <w:pStyle w:val="ListParagraph"/>
        <w:ind w:left="360" w:firstLine="360"/>
        <w:rPr>
          <w:rFonts w:ascii="Century Gothic" w:hAnsi="Century Gothic" w:cs="Times New Roman"/>
          <w:sz w:val="24"/>
        </w:rPr>
      </w:pPr>
      <w:r>
        <w:rPr>
          <w:rFonts w:ascii="Century Gothic" w:hAnsi="Century Gothic" w:cs="Times New Roman"/>
          <w:sz w:val="24"/>
        </w:rPr>
        <w:t>a</w:t>
      </w:r>
      <w:r w:rsidRPr="007A0230">
        <w:rPr>
          <w:rFonts w:ascii="Century Gothic" w:hAnsi="Century Gothic" w:cs="Times New Roman"/>
          <w:sz w:val="24"/>
        </w:rPr>
        <w:t>)</w:t>
      </w:r>
      <w:r w:rsidRPr="007A0230">
        <w:rPr>
          <w:rFonts w:ascii="Century Gothic" w:hAnsi="Century Gothic" w:cs="Times New Roman"/>
          <w:sz w:val="24"/>
        </w:rPr>
        <w:tab/>
        <w:t>Company headquarters in California</w:t>
      </w:r>
    </w:p>
    <w:p w:rsidR="007A0230" w:rsidRPr="007A0230" w:rsidRDefault="007A0230" w:rsidP="005F3C42">
      <w:pPr>
        <w:pStyle w:val="ListParagraph"/>
        <w:ind w:left="360" w:firstLine="360"/>
        <w:rPr>
          <w:rFonts w:ascii="Century Gothic" w:hAnsi="Century Gothic" w:cs="Times New Roman"/>
          <w:sz w:val="24"/>
        </w:rPr>
      </w:pPr>
      <w:r>
        <w:rPr>
          <w:rFonts w:ascii="Century Gothic" w:hAnsi="Century Gothic" w:cs="Times New Roman"/>
          <w:sz w:val="24"/>
        </w:rPr>
        <w:lastRenderedPageBreak/>
        <w:t>b</w:t>
      </w:r>
      <w:r w:rsidRPr="007A0230">
        <w:rPr>
          <w:rFonts w:ascii="Century Gothic" w:hAnsi="Century Gothic" w:cs="Times New Roman"/>
          <w:sz w:val="24"/>
        </w:rPr>
        <w:t>)</w:t>
      </w:r>
      <w:r w:rsidRPr="007A0230">
        <w:rPr>
          <w:rFonts w:ascii="Century Gothic" w:hAnsi="Century Gothic" w:cs="Times New Roman"/>
          <w:sz w:val="24"/>
        </w:rPr>
        <w:tab/>
        <w:t>More employees reside in California than in any other state</w:t>
      </w:r>
    </w:p>
    <w:p w:rsidR="007273E7" w:rsidRDefault="007A0230" w:rsidP="005F3C42">
      <w:pPr>
        <w:pStyle w:val="ListParagraph"/>
        <w:ind w:left="360" w:firstLine="360"/>
        <w:rPr>
          <w:rFonts w:ascii="Century Gothic" w:hAnsi="Century Gothic" w:cs="Times New Roman"/>
          <w:sz w:val="24"/>
        </w:rPr>
      </w:pPr>
      <w:r>
        <w:rPr>
          <w:rFonts w:ascii="Century Gothic" w:hAnsi="Century Gothic" w:cs="Times New Roman"/>
          <w:sz w:val="24"/>
        </w:rPr>
        <w:t>c</w:t>
      </w:r>
      <w:r w:rsidRPr="007A0230">
        <w:rPr>
          <w:rFonts w:ascii="Century Gothic" w:hAnsi="Century Gothic" w:cs="Times New Roman"/>
          <w:sz w:val="24"/>
        </w:rPr>
        <w:t>)</w:t>
      </w:r>
      <w:r w:rsidRPr="007A0230">
        <w:rPr>
          <w:rFonts w:ascii="Century Gothic" w:hAnsi="Century Gothic" w:cs="Times New Roman"/>
          <w:sz w:val="24"/>
        </w:rPr>
        <w:tab/>
        <w:t>More facility locations in California than in any other state</w:t>
      </w:r>
    </w:p>
    <w:p w:rsidR="00BD1508" w:rsidRDefault="00BD1508" w:rsidP="00201C2B">
      <w:pPr>
        <w:pStyle w:val="ListParagraph"/>
        <w:ind w:left="360"/>
        <w:rPr>
          <w:rFonts w:ascii="Century Gothic" w:hAnsi="Century Gothic" w:cs="Times New Roman"/>
          <w:sz w:val="24"/>
        </w:rPr>
      </w:pPr>
    </w:p>
    <w:p w:rsidR="00BD1508" w:rsidRPr="003F38A3" w:rsidRDefault="00BD1508" w:rsidP="00201C2B">
      <w:pPr>
        <w:pStyle w:val="ListParagraph"/>
        <w:ind w:left="360"/>
        <w:rPr>
          <w:rFonts w:ascii="Century Gothic" w:hAnsi="Century Gothic" w:cs="Times New Roman"/>
          <w:sz w:val="24"/>
        </w:rPr>
      </w:pPr>
    </w:p>
    <w:p w:rsidR="007273E7" w:rsidRPr="003F38A3" w:rsidRDefault="007273E7" w:rsidP="005F3C42">
      <w:pPr>
        <w:pStyle w:val="ListParagraph"/>
        <w:numPr>
          <w:ilvl w:val="0"/>
          <w:numId w:val="4"/>
        </w:numPr>
        <w:ind w:left="360"/>
        <w:rPr>
          <w:rFonts w:ascii="Century Gothic" w:hAnsi="Century Gothic" w:cs="Times New Roman"/>
          <w:b/>
          <w:sz w:val="24"/>
          <w:u w:val="single"/>
        </w:rPr>
      </w:pPr>
      <w:r w:rsidRPr="003F38A3">
        <w:rPr>
          <w:rFonts w:ascii="Century Gothic" w:hAnsi="Century Gothic" w:cs="Times New Roman"/>
          <w:b/>
          <w:sz w:val="24"/>
          <w:u w:val="single"/>
        </w:rPr>
        <w:t>Provide either proven social impact to LMI people</w:t>
      </w:r>
      <w:r w:rsidR="00C77F0D" w:rsidRPr="003F38A3">
        <w:rPr>
          <w:rFonts w:ascii="Century Gothic" w:hAnsi="Century Gothic" w:cs="Times New Roman"/>
          <w:b/>
          <w:sz w:val="24"/>
          <w:u w:val="single"/>
        </w:rPr>
        <w:t xml:space="preserve"> or communities and/</w:t>
      </w:r>
      <w:r w:rsidRPr="003F38A3">
        <w:rPr>
          <w:rFonts w:ascii="Century Gothic" w:hAnsi="Century Gothic" w:cs="Times New Roman"/>
          <w:b/>
          <w:sz w:val="24"/>
          <w:u w:val="single"/>
        </w:rPr>
        <w:t>or environment</w:t>
      </w:r>
      <w:r w:rsidR="00BD1508">
        <w:rPr>
          <w:rFonts w:ascii="Century Gothic" w:hAnsi="Century Gothic" w:cs="Times New Roman"/>
          <w:b/>
          <w:sz w:val="24"/>
          <w:u w:val="single"/>
        </w:rPr>
        <w:t>al</w:t>
      </w:r>
      <w:r w:rsidRPr="003F38A3">
        <w:rPr>
          <w:rFonts w:ascii="Century Gothic" w:hAnsi="Century Gothic" w:cs="Times New Roman"/>
          <w:b/>
          <w:sz w:val="24"/>
          <w:u w:val="single"/>
        </w:rPr>
        <w:t xml:space="preserve"> benefit</w:t>
      </w:r>
      <w:r w:rsidR="00C77F0D" w:rsidRPr="003F38A3">
        <w:rPr>
          <w:rFonts w:ascii="Century Gothic" w:hAnsi="Century Gothic" w:cs="Times New Roman"/>
          <w:b/>
          <w:sz w:val="24"/>
          <w:u w:val="single"/>
        </w:rPr>
        <w:t xml:space="preserve"> in California</w:t>
      </w:r>
    </w:p>
    <w:p w:rsidR="007265A0" w:rsidRPr="003F38A3" w:rsidRDefault="007265A0" w:rsidP="007265A0">
      <w:pPr>
        <w:pStyle w:val="ListParagraph"/>
        <w:ind w:left="360"/>
        <w:rPr>
          <w:rFonts w:ascii="Century Gothic" w:hAnsi="Century Gothic" w:cs="Times New Roman"/>
          <w:b/>
          <w:sz w:val="24"/>
          <w:u w:val="single"/>
        </w:rPr>
      </w:pPr>
    </w:p>
    <w:p w:rsidR="00F07ECB" w:rsidRPr="005F3C42" w:rsidRDefault="004815FF" w:rsidP="005F3C42">
      <w:pPr>
        <w:pStyle w:val="ListParagraph"/>
        <w:rPr>
          <w:rFonts w:ascii="Century Gothic" w:hAnsi="Century Gothic" w:cs="Times New Roman"/>
          <w:sz w:val="24"/>
          <w:szCs w:val="24"/>
        </w:rPr>
      </w:pPr>
      <w:r>
        <w:rPr>
          <w:rFonts w:ascii="Century Gothic" w:hAnsi="Century Gothic" w:cs="Times New Roman"/>
          <w:sz w:val="24"/>
        </w:rPr>
        <w:t>T</w:t>
      </w:r>
      <w:r w:rsidR="007265A0" w:rsidRPr="003F38A3">
        <w:rPr>
          <w:rFonts w:ascii="Century Gothic" w:hAnsi="Century Gothic" w:cs="Times New Roman"/>
          <w:sz w:val="24"/>
        </w:rPr>
        <w:t>o qualify</w:t>
      </w:r>
      <w:r w:rsidR="00C77F0D" w:rsidRPr="003F38A3">
        <w:rPr>
          <w:rFonts w:ascii="Century Gothic" w:hAnsi="Century Gothic" w:cs="Times New Roman"/>
          <w:sz w:val="24"/>
        </w:rPr>
        <w:t xml:space="preserve"> for </w:t>
      </w:r>
      <w:r>
        <w:rPr>
          <w:rFonts w:ascii="Century Gothic" w:hAnsi="Century Gothic" w:cs="Times New Roman"/>
          <w:sz w:val="24"/>
        </w:rPr>
        <w:t xml:space="preserve">the </w:t>
      </w:r>
      <w:r w:rsidR="00C77F0D" w:rsidRPr="003F38A3">
        <w:rPr>
          <w:rFonts w:ascii="Century Gothic" w:hAnsi="Century Gothic" w:cs="Times New Roman"/>
          <w:sz w:val="24"/>
        </w:rPr>
        <w:t>COIN High Impact I</w:t>
      </w:r>
      <w:r w:rsidR="007265A0" w:rsidRPr="003F38A3">
        <w:rPr>
          <w:rFonts w:ascii="Century Gothic" w:hAnsi="Century Gothic" w:cs="Times New Roman"/>
          <w:sz w:val="24"/>
        </w:rPr>
        <w:t>nvestment</w:t>
      </w:r>
      <w:r w:rsidR="00C77F0D" w:rsidRPr="003F38A3">
        <w:rPr>
          <w:rFonts w:ascii="Century Gothic" w:hAnsi="Century Gothic" w:cs="Times New Roman"/>
          <w:sz w:val="24"/>
        </w:rPr>
        <w:t xml:space="preserve"> Bulletin</w:t>
      </w:r>
      <w:r w:rsidR="007265A0" w:rsidRPr="003F38A3">
        <w:rPr>
          <w:rFonts w:ascii="Century Gothic" w:hAnsi="Century Gothic" w:cs="Times New Roman"/>
          <w:sz w:val="24"/>
        </w:rPr>
        <w:t xml:space="preserve">, </w:t>
      </w:r>
      <w:r>
        <w:rPr>
          <w:rFonts w:ascii="Century Gothic" w:hAnsi="Century Gothic" w:cs="Times New Roman"/>
          <w:sz w:val="24"/>
        </w:rPr>
        <w:t>the investment</w:t>
      </w:r>
      <w:r w:rsidRPr="003F38A3">
        <w:rPr>
          <w:rFonts w:ascii="Century Gothic" w:hAnsi="Century Gothic" w:cs="Times New Roman"/>
          <w:sz w:val="24"/>
        </w:rPr>
        <w:t xml:space="preserve"> </w:t>
      </w:r>
      <w:r w:rsidR="007265A0" w:rsidRPr="003F38A3">
        <w:rPr>
          <w:rFonts w:ascii="Century Gothic" w:hAnsi="Century Gothic" w:cs="Times New Roman"/>
          <w:sz w:val="24"/>
        </w:rPr>
        <w:t xml:space="preserve">should have </w:t>
      </w:r>
      <w:r>
        <w:rPr>
          <w:rFonts w:ascii="Century Gothic" w:hAnsi="Century Gothic" w:cs="Times New Roman"/>
          <w:sz w:val="24"/>
        </w:rPr>
        <w:t xml:space="preserve">either </w:t>
      </w:r>
      <w:r w:rsidR="007265A0" w:rsidRPr="003F38A3">
        <w:rPr>
          <w:rFonts w:ascii="Century Gothic" w:hAnsi="Century Gothic" w:cs="Times New Roman"/>
          <w:sz w:val="24"/>
        </w:rPr>
        <w:t>certain social impact or environment benefit</w:t>
      </w:r>
      <w:r>
        <w:rPr>
          <w:rFonts w:ascii="Century Gothic" w:hAnsi="Century Gothic" w:cs="Times New Roman"/>
          <w:sz w:val="24"/>
        </w:rPr>
        <w:t xml:space="preserve"> </w:t>
      </w:r>
      <w:r w:rsidR="007265A0" w:rsidRPr="003F38A3">
        <w:rPr>
          <w:rFonts w:ascii="Century Gothic" w:hAnsi="Century Gothic" w:cs="Times New Roman"/>
          <w:sz w:val="24"/>
        </w:rPr>
        <w:t xml:space="preserve">in </w:t>
      </w:r>
      <w:r w:rsidR="002E1028" w:rsidRPr="003F38A3">
        <w:rPr>
          <w:rFonts w:ascii="Century Gothic" w:hAnsi="Century Gothic" w:cs="Times New Roman"/>
          <w:sz w:val="24"/>
        </w:rPr>
        <w:t>California</w:t>
      </w:r>
      <w:r>
        <w:rPr>
          <w:rFonts w:ascii="Century Gothic" w:hAnsi="Century Gothic" w:cs="Times New Roman"/>
          <w:sz w:val="24"/>
        </w:rPr>
        <w:t xml:space="preserve">. </w:t>
      </w:r>
      <w:r w:rsidR="004003FF">
        <w:rPr>
          <w:rFonts w:ascii="Century Gothic" w:hAnsi="Century Gothic" w:cs="Times New Roman"/>
          <w:sz w:val="24"/>
        </w:rPr>
        <w:t>Investments should have all or a portion of its funds directed at Community Development and/or Green Investments. For definitions and examples of Community Development and Green Investments, please see Appendix I.</w:t>
      </w:r>
      <w:r w:rsidR="00CE44E3">
        <w:rPr>
          <w:rFonts w:ascii="Century Gothic" w:hAnsi="Century Gothic" w:cs="Times New Roman"/>
          <w:sz w:val="24"/>
        </w:rPr>
        <w:t xml:space="preserve"> </w:t>
      </w:r>
      <w:r w:rsidR="00F07ECB" w:rsidRPr="00CE44E3">
        <w:rPr>
          <w:rFonts w:ascii="Century Gothic" w:hAnsi="Century Gothic" w:cs="Times New Roman"/>
          <w:sz w:val="24"/>
          <w:szCs w:val="24"/>
        </w:rPr>
        <w:t xml:space="preserve">See </w:t>
      </w:r>
      <w:r w:rsidR="00F56A5E" w:rsidRPr="005F3C42">
        <w:rPr>
          <w:rFonts w:ascii="Century Gothic" w:hAnsi="Century Gothic" w:cs="Times New Roman"/>
          <w:sz w:val="24"/>
          <w:szCs w:val="24"/>
        </w:rPr>
        <w:t xml:space="preserve">also </w:t>
      </w:r>
      <w:r w:rsidR="00F07ECB" w:rsidRPr="00CE44E3">
        <w:rPr>
          <w:rFonts w:ascii="Century Gothic" w:hAnsi="Century Gothic" w:cs="Times New Roman"/>
          <w:sz w:val="24"/>
          <w:szCs w:val="24"/>
        </w:rPr>
        <w:t xml:space="preserve">Appendix III for additional </w:t>
      </w:r>
      <w:r w:rsidR="00CE44E3">
        <w:rPr>
          <w:rFonts w:ascii="Century Gothic" w:hAnsi="Century Gothic" w:cs="Times New Roman"/>
          <w:sz w:val="24"/>
          <w:szCs w:val="24"/>
        </w:rPr>
        <w:t xml:space="preserve">details </w:t>
      </w:r>
      <w:r w:rsidR="00F07ECB" w:rsidRPr="00CE44E3">
        <w:rPr>
          <w:rFonts w:ascii="Century Gothic" w:hAnsi="Century Gothic" w:cs="Times New Roman"/>
          <w:sz w:val="24"/>
          <w:szCs w:val="24"/>
        </w:rPr>
        <w:t xml:space="preserve">on </w:t>
      </w:r>
      <w:r w:rsidR="00CE44E3">
        <w:rPr>
          <w:rFonts w:ascii="Century Gothic" w:hAnsi="Century Gothic" w:cs="Times New Roman"/>
          <w:sz w:val="24"/>
          <w:szCs w:val="24"/>
        </w:rPr>
        <w:t>these types of i</w:t>
      </w:r>
      <w:r w:rsidR="00F07ECB" w:rsidRPr="00CE44E3">
        <w:rPr>
          <w:rFonts w:ascii="Century Gothic" w:hAnsi="Century Gothic" w:cs="Times New Roman"/>
          <w:sz w:val="24"/>
          <w:szCs w:val="24"/>
        </w:rPr>
        <w:t>nvestments</w:t>
      </w:r>
      <w:r w:rsidR="007265A0" w:rsidRPr="005F3C42">
        <w:rPr>
          <w:rFonts w:ascii="Century Gothic" w:hAnsi="Century Gothic" w:cs="Times New Roman"/>
          <w:sz w:val="24"/>
          <w:szCs w:val="24"/>
        </w:rPr>
        <w:t>.</w:t>
      </w:r>
    </w:p>
    <w:p w:rsidR="00C038E2" w:rsidRPr="005F3C42" w:rsidRDefault="00C038E2" w:rsidP="007265A0">
      <w:pPr>
        <w:ind w:left="360"/>
        <w:rPr>
          <w:rFonts w:ascii="Century Gothic" w:hAnsi="Century Gothic" w:cs="Times New Roman"/>
          <w:b/>
          <w:sz w:val="24"/>
          <w:szCs w:val="24"/>
        </w:rPr>
      </w:pPr>
    </w:p>
    <w:p w:rsidR="002E1028" w:rsidRPr="003F38A3" w:rsidRDefault="002E1028" w:rsidP="005F3C42">
      <w:pPr>
        <w:pStyle w:val="ListParagraph"/>
        <w:numPr>
          <w:ilvl w:val="0"/>
          <w:numId w:val="4"/>
        </w:numPr>
        <w:ind w:left="360"/>
        <w:rPr>
          <w:rFonts w:ascii="Century Gothic" w:hAnsi="Century Gothic" w:cs="Times New Roman"/>
          <w:b/>
          <w:sz w:val="24"/>
          <w:u w:val="single"/>
        </w:rPr>
      </w:pPr>
      <w:r w:rsidRPr="003F38A3">
        <w:rPr>
          <w:rFonts w:ascii="Century Gothic" w:hAnsi="Century Gothic" w:cs="Times New Roman"/>
          <w:b/>
          <w:sz w:val="24"/>
          <w:u w:val="single"/>
        </w:rPr>
        <w:t>Provide safe, sound, and solvent investments offering an acceptable financial return</w:t>
      </w:r>
    </w:p>
    <w:p w:rsidR="002E1028" w:rsidRPr="003F38A3" w:rsidRDefault="002E1028" w:rsidP="002E1028">
      <w:pPr>
        <w:pStyle w:val="ListParagraph"/>
        <w:ind w:left="360"/>
        <w:rPr>
          <w:rFonts w:ascii="Century Gothic" w:hAnsi="Century Gothic" w:cs="Times New Roman"/>
        </w:rPr>
      </w:pPr>
    </w:p>
    <w:p w:rsidR="00DE6EF0" w:rsidRPr="003F38A3" w:rsidRDefault="00A308DF" w:rsidP="002E1028">
      <w:pPr>
        <w:pStyle w:val="ListParagraph"/>
        <w:ind w:left="360"/>
        <w:rPr>
          <w:rFonts w:ascii="Century Gothic" w:hAnsi="Century Gothic" w:cs="Times New Roman"/>
          <w:sz w:val="24"/>
        </w:rPr>
      </w:pPr>
      <w:r w:rsidRPr="003F38A3">
        <w:rPr>
          <w:rFonts w:ascii="Century Gothic" w:hAnsi="Century Gothic" w:cs="Times New Roman"/>
          <w:sz w:val="24"/>
        </w:rPr>
        <w:t xml:space="preserve">To qualify for </w:t>
      </w:r>
      <w:r w:rsidR="00DE6EF0" w:rsidRPr="003F38A3">
        <w:rPr>
          <w:rFonts w:ascii="Century Gothic" w:hAnsi="Century Gothic" w:cs="Times New Roman"/>
          <w:sz w:val="24"/>
        </w:rPr>
        <w:t xml:space="preserve">a </w:t>
      </w:r>
      <w:r w:rsidRPr="003F38A3">
        <w:rPr>
          <w:rFonts w:ascii="Century Gothic" w:hAnsi="Century Gothic" w:cs="Times New Roman"/>
          <w:sz w:val="24"/>
        </w:rPr>
        <w:t xml:space="preserve">COIN </w:t>
      </w:r>
      <w:r w:rsidR="00DE6EF0" w:rsidRPr="003F38A3">
        <w:rPr>
          <w:rFonts w:ascii="Century Gothic" w:hAnsi="Century Gothic" w:cs="Times New Roman"/>
          <w:sz w:val="24"/>
        </w:rPr>
        <w:t>H</w:t>
      </w:r>
      <w:r w:rsidRPr="003F38A3">
        <w:rPr>
          <w:rFonts w:ascii="Century Gothic" w:hAnsi="Century Gothic" w:cs="Times New Roman"/>
          <w:sz w:val="24"/>
        </w:rPr>
        <w:t xml:space="preserve">igh </w:t>
      </w:r>
      <w:r w:rsidR="00DE6EF0" w:rsidRPr="003F38A3">
        <w:rPr>
          <w:rFonts w:ascii="Century Gothic" w:hAnsi="Century Gothic" w:cs="Times New Roman"/>
          <w:sz w:val="24"/>
        </w:rPr>
        <w:t>I</w:t>
      </w:r>
      <w:r w:rsidRPr="003F38A3">
        <w:rPr>
          <w:rFonts w:ascii="Century Gothic" w:hAnsi="Century Gothic" w:cs="Times New Roman"/>
          <w:sz w:val="24"/>
        </w:rPr>
        <w:t xml:space="preserve">mpact </w:t>
      </w:r>
      <w:r w:rsidR="00DE6EF0" w:rsidRPr="003F38A3">
        <w:rPr>
          <w:rFonts w:ascii="Century Gothic" w:hAnsi="Century Gothic" w:cs="Times New Roman"/>
          <w:sz w:val="24"/>
        </w:rPr>
        <w:t>Investment B</w:t>
      </w:r>
      <w:r w:rsidRPr="003F38A3">
        <w:rPr>
          <w:rFonts w:ascii="Century Gothic" w:hAnsi="Century Gothic" w:cs="Times New Roman"/>
          <w:sz w:val="24"/>
        </w:rPr>
        <w:t>ulletin,</w:t>
      </w:r>
      <w:r w:rsidR="00DE6EF0" w:rsidRPr="003F38A3">
        <w:rPr>
          <w:rFonts w:ascii="Century Gothic" w:hAnsi="Century Gothic" w:cs="Times New Roman"/>
          <w:sz w:val="24"/>
        </w:rPr>
        <w:t xml:space="preserve"> the proposed organization </w:t>
      </w:r>
      <w:r w:rsidR="00B2576B" w:rsidRPr="003F38A3">
        <w:rPr>
          <w:rFonts w:ascii="Century Gothic" w:hAnsi="Century Gothic" w:cs="Times New Roman"/>
          <w:sz w:val="24"/>
        </w:rPr>
        <w:t>or individual</w:t>
      </w:r>
      <w:r w:rsidR="00DE6EF0" w:rsidRPr="003F38A3">
        <w:rPr>
          <w:rFonts w:ascii="Century Gothic" w:hAnsi="Century Gothic" w:cs="Times New Roman"/>
          <w:sz w:val="24"/>
        </w:rPr>
        <w:t xml:space="preserve"> must provide current or past experience and/or performance showing acceptable financial returns to investors.</w:t>
      </w:r>
    </w:p>
    <w:p w:rsidR="00A308DF" w:rsidRPr="003F38A3" w:rsidRDefault="00A308DF" w:rsidP="002E1028">
      <w:pPr>
        <w:pStyle w:val="ListParagraph"/>
        <w:ind w:left="360"/>
        <w:rPr>
          <w:rFonts w:ascii="Century Gothic" w:hAnsi="Century Gothic" w:cs="Times New Roman"/>
          <w:sz w:val="24"/>
        </w:rPr>
      </w:pPr>
    </w:p>
    <w:p w:rsidR="00A308DF" w:rsidRPr="003F38A3" w:rsidRDefault="00DE6EF0" w:rsidP="002E1028">
      <w:pPr>
        <w:pStyle w:val="ListParagraph"/>
        <w:ind w:left="360"/>
        <w:rPr>
          <w:rFonts w:ascii="Century Gothic" w:hAnsi="Century Gothic" w:cs="Times New Roman"/>
          <w:sz w:val="24"/>
        </w:rPr>
      </w:pPr>
      <w:r w:rsidRPr="003F38A3">
        <w:rPr>
          <w:rFonts w:ascii="Century Gothic" w:hAnsi="Century Gothic" w:cs="Times New Roman"/>
          <w:sz w:val="24"/>
        </w:rPr>
        <w:t>The</w:t>
      </w:r>
      <w:r w:rsidR="00A308DF" w:rsidRPr="003F38A3">
        <w:rPr>
          <w:rFonts w:ascii="Century Gothic" w:hAnsi="Century Gothic" w:cs="Times New Roman"/>
          <w:sz w:val="24"/>
        </w:rPr>
        <w:t xml:space="preserve"> return parameter and m</w:t>
      </w:r>
      <w:r w:rsidR="00C77F0D" w:rsidRPr="003F38A3">
        <w:rPr>
          <w:rFonts w:ascii="Century Gothic" w:hAnsi="Century Gothic" w:cs="Times New Roman"/>
          <w:sz w:val="24"/>
        </w:rPr>
        <w:t>etric</w:t>
      </w:r>
      <w:r w:rsidR="00A308DF" w:rsidRPr="003F38A3">
        <w:rPr>
          <w:rFonts w:ascii="Century Gothic" w:hAnsi="Century Gothic" w:cs="Times New Roman"/>
          <w:sz w:val="24"/>
        </w:rPr>
        <w:t>s varies</w:t>
      </w:r>
      <w:r w:rsidRPr="003F38A3">
        <w:rPr>
          <w:rFonts w:ascii="Century Gothic" w:hAnsi="Century Gothic" w:cs="Times New Roman"/>
          <w:sz w:val="24"/>
        </w:rPr>
        <w:t xml:space="preserve"> by asset classes. COIN will utilize</w:t>
      </w:r>
      <w:r w:rsidR="00A308DF" w:rsidRPr="003F38A3">
        <w:rPr>
          <w:rFonts w:ascii="Century Gothic" w:hAnsi="Century Gothic" w:cs="Times New Roman"/>
          <w:sz w:val="24"/>
        </w:rPr>
        <w:t xml:space="preserve"> its own benchmark </w:t>
      </w:r>
      <w:r w:rsidRPr="003F38A3">
        <w:rPr>
          <w:rFonts w:ascii="Century Gothic" w:hAnsi="Century Gothic" w:cs="Times New Roman"/>
          <w:sz w:val="24"/>
        </w:rPr>
        <w:t xml:space="preserve">and </w:t>
      </w:r>
      <w:r w:rsidR="00A308DF" w:rsidRPr="003F38A3">
        <w:rPr>
          <w:rFonts w:ascii="Century Gothic" w:hAnsi="Century Gothic" w:cs="Times New Roman"/>
          <w:sz w:val="24"/>
        </w:rPr>
        <w:t>criteria to evaluate the performance</w:t>
      </w:r>
      <w:r w:rsidR="00F07ECB">
        <w:rPr>
          <w:rFonts w:ascii="Century Gothic" w:hAnsi="Century Gothic" w:cs="Times New Roman"/>
          <w:sz w:val="24"/>
        </w:rPr>
        <w:t>.</w:t>
      </w:r>
      <w:r w:rsidR="00A308DF" w:rsidRPr="003F38A3">
        <w:rPr>
          <w:rFonts w:ascii="Century Gothic" w:hAnsi="Century Gothic" w:cs="Times New Roman"/>
          <w:sz w:val="24"/>
        </w:rPr>
        <w:t xml:space="preserve"> </w:t>
      </w:r>
      <w:r w:rsidR="00F07ECB">
        <w:rPr>
          <w:rFonts w:ascii="Century Gothic" w:hAnsi="Century Gothic" w:cs="Times New Roman"/>
          <w:sz w:val="24"/>
        </w:rPr>
        <w:t>W</w:t>
      </w:r>
      <w:r w:rsidR="00A308DF" w:rsidRPr="003F38A3">
        <w:rPr>
          <w:rFonts w:ascii="Century Gothic" w:hAnsi="Century Gothic" w:cs="Times New Roman"/>
          <w:sz w:val="24"/>
        </w:rPr>
        <w:t>e encourage the applicant to provide the performance data and suitable</w:t>
      </w:r>
      <w:r w:rsidR="003B0D62" w:rsidRPr="003F38A3">
        <w:rPr>
          <w:rFonts w:ascii="Century Gothic" w:hAnsi="Century Gothic" w:cs="Times New Roman"/>
          <w:sz w:val="24"/>
        </w:rPr>
        <w:t xml:space="preserve"> benchmarks and explain how it </w:t>
      </w:r>
      <w:r w:rsidR="00112DCF" w:rsidRPr="003F38A3">
        <w:rPr>
          <w:rFonts w:ascii="Century Gothic" w:hAnsi="Century Gothic" w:cs="Times New Roman"/>
          <w:sz w:val="24"/>
        </w:rPr>
        <w:t>delivers</w:t>
      </w:r>
      <w:r w:rsidR="002B3D96" w:rsidRPr="003F38A3">
        <w:rPr>
          <w:rFonts w:ascii="Century Gothic" w:hAnsi="Century Gothic" w:cs="Times New Roman"/>
          <w:sz w:val="24"/>
        </w:rPr>
        <w:t xml:space="preserve"> acceptable</w:t>
      </w:r>
      <w:r w:rsidR="003B0D62" w:rsidRPr="003F38A3">
        <w:rPr>
          <w:rFonts w:ascii="Century Gothic" w:hAnsi="Century Gothic" w:cs="Times New Roman"/>
          <w:sz w:val="24"/>
        </w:rPr>
        <w:t xml:space="preserve"> return comparing to peers. </w:t>
      </w:r>
    </w:p>
    <w:p w:rsidR="003B0D62" w:rsidRPr="003F38A3" w:rsidRDefault="003B0D62" w:rsidP="002E1028">
      <w:pPr>
        <w:pStyle w:val="ListParagraph"/>
        <w:ind w:left="360"/>
        <w:rPr>
          <w:rFonts w:ascii="Century Gothic" w:hAnsi="Century Gothic" w:cs="Times New Roman"/>
        </w:rPr>
      </w:pPr>
    </w:p>
    <w:p w:rsidR="00BA20AA" w:rsidRDefault="003B0D62" w:rsidP="002E1028">
      <w:pPr>
        <w:pStyle w:val="ListParagraph"/>
        <w:ind w:left="360"/>
        <w:rPr>
          <w:rFonts w:ascii="Century Gothic" w:hAnsi="Century Gothic" w:cs="Times New Roman"/>
          <w:b/>
          <w:sz w:val="24"/>
          <w:szCs w:val="24"/>
        </w:rPr>
      </w:pPr>
      <w:r w:rsidRPr="005F3C42">
        <w:rPr>
          <w:rFonts w:ascii="Century Gothic" w:hAnsi="Century Gothic" w:cs="Times New Roman"/>
          <w:b/>
          <w:sz w:val="24"/>
          <w:szCs w:val="24"/>
        </w:rPr>
        <w:t xml:space="preserve">See Appendix </w:t>
      </w:r>
      <w:r w:rsidR="00ED5FEC" w:rsidRPr="005F3C42">
        <w:rPr>
          <w:rFonts w:ascii="Century Gothic" w:hAnsi="Century Gothic" w:cs="Times New Roman"/>
          <w:b/>
          <w:sz w:val="24"/>
          <w:szCs w:val="24"/>
        </w:rPr>
        <w:t>I</w:t>
      </w:r>
      <w:r w:rsidR="00ED5FEC">
        <w:rPr>
          <w:rFonts w:ascii="Century Gothic" w:hAnsi="Century Gothic" w:cs="Times New Roman"/>
          <w:b/>
          <w:sz w:val="24"/>
          <w:szCs w:val="24"/>
        </w:rPr>
        <w:t>V</w:t>
      </w:r>
      <w:r w:rsidR="00ED5FEC" w:rsidRPr="005F3C42">
        <w:rPr>
          <w:rFonts w:ascii="Century Gothic" w:hAnsi="Century Gothic" w:cs="Times New Roman"/>
          <w:b/>
          <w:sz w:val="24"/>
          <w:szCs w:val="24"/>
        </w:rPr>
        <w:t xml:space="preserve"> </w:t>
      </w:r>
      <w:r w:rsidRPr="005F3C42">
        <w:rPr>
          <w:rFonts w:ascii="Century Gothic" w:hAnsi="Century Gothic" w:cs="Times New Roman"/>
          <w:b/>
          <w:sz w:val="24"/>
          <w:szCs w:val="24"/>
        </w:rPr>
        <w:t xml:space="preserve">for </w:t>
      </w:r>
      <w:r w:rsidR="00F56A5E">
        <w:rPr>
          <w:rFonts w:ascii="Century Gothic" w:hAnsi="Century Gothic" w:cs="Times New Roman"/>
          <w:b/>
          <w:sz w:val="24"/>
          <w:szCs w:val="24"/>
        </w:rPr>
        <w:t xml:space="preserve">a </w:t>
      </w:r>
      <w:r w:rsidRPr="005F3C42">
        <w:rPr>
          <w:rFonts w:ascii="Century Gothic" w:hAnsi="Century Gothic" w:cs="Times New Roman"/>
          <w:b/>
          <w:sz w:val="24"/>
          <w:szCs w:val="24"/>
        </w:rPr>
        <w:t xml:space="preserve">guideline about each asset class’s performance </w:t>
      </w:r>
      <w:r w:rsidR="002B3D96" w:rsidRPr="005F3C42">
        <w:rPr>
          <w:rFonts w:ascii="Century Gothic" w:hAnsi="Century Gothic" w:cs="Times New Roman"/>
          <w:b/>
          <w:sz w:val="24"/>
          <w:szCs w:val="24"/>
        </w:rPr>
        <w:t>assessment and</w:t>
      </w:r>
      <w:r w:rsidRPr="005F3C42">
        <w:rPr>
          <w:rFonts w:ascii="Century Gothic" w:hAnsi="Century Gothic" w:cs="Times New Roman"/>
          <w:b/>
          <w:sz w:val="24"/>
          <w:szCs w:val="24"/>
        </w:rPr>
        <w:t xml:space="preserve"> benchmarks</w:t>
      </w:r>
      <w:r w:rsidR="00F07ECB" w:rsidRPr="005F3C42">
        <w:rPr>
          <w:rFonts w:ascii="Century Gothic" w:hAnsi="Century Gothic" w:cs="Times New Roman"/>
          <w:b/>
          <w:sz w:val="24"/>
          <w:szCs w:val="24"/>
        </w:rPr>
        <w:t>.</w:t>
      </w:r>
    </w:p>
    <w:p w:rsidR="003B0D62" w:rsidRPr="005F3C42" w:rsidRDefault="00DE4DF8" w:rsidP="005F3C42">
      <w:pPr>
        <w:rPr>
          <w:rFonts w:ascii="Century Gothic" w:hAnsi="Century Gothic" w:cs="Times New Roman"/>
        </w:rPr>
      </w:pPr>
      <w:r>
        <w:rPr>
          <w:rFonts w:ascii="Century Gothic" w:hAnsi="Century Gothic" w:cs="Times New Roman"/>
        </w:rPr>
        <w:br w:type="page"/>
      </w:r>
    </w:p>
    <w:p w:rsidR="005164A4" w:rsidRPr="003F38A3" w:rsidRDefault="005164A4" w:rsidP="005F3C42">
      <w:pPr>
        <w:pStyle w:val="Heading1"/>
        <w:numPr>
          <w:ilvl w:val="0"/>
          <w:numId w:val="18"/>
        </w:numPr>
        <w:ind w:left="720"/>
        <w:jc w:val="left"/>
        <w:rPr>
          <w:rFonts w:ascii="Century Gothic" w:hAnsi="Century Gothic"/>
        </w:rPr>
      </w:pPr>
      <w:bookmarkStart w:id="7" w:name="_Toc371580015"/>
      <w:r w:rsidRPr="003F38A3">
        <w:rPr>
          <w:rFonts w:ascii="Century Gothic" w:hAnsi="Century Gothic"/>
        </w:rPr>
        <w:lastRenderedPageBreak/>
        <w:t>BULLETIN APPLICATION QUESTIONNAIRE</w:t>
      </w:r>
      <w:bookmarkEnd w:id="7"/>
    </w:p>
    <w:p w:rsidR="002572F9" w:rsidRDefault="003A0D27" w:rsidP="005F3C42">
      <w:pPr>
        <w:pStyle w:val="BodyText"/>
        <w:spacing w:after="120"/>
        <w:rPr>
          <w:rFonts w:ascii="Century Gothic" w:hAnsi="Century Gothic"/>
          <w:b/>
          <w:i w:val="0"/>
          <w:sz w:val="24"/>
          <w:szCs w:val="24"/>
          <w:u w:val="single"/>
        </w:rPr>
      </w:pPr>
      <w:r w:rsidRPr="005F3C42">
        <w:rPr>
          <w:rFonts w:ascii="Century Gothic" w:hAnsi="Century Gothic"/>
          <w:b/>
          <w:i w:val="0"/>
          <w:sz w:val="24"/>
          <w:szCs w:val="24"/>
          <w:u w:val="single"/>
        </w:rPr>
        <w:t>PART I</w:t>
      </w:r>
    </w:p>
    <w:p w:rsidR="003A0D27" w:rsidRPr="003F38A3" w:rsidRDefault="002572F9" w:rsidP="005F3C42">
      <w:pPr>
        <w:pStyle w:val="BodyText"/>
        <w:spacing w:after="120"/>
        <w:contextualSpacing/>
        <w:rPr>
          <w:rFonts w:ascii="Century Gothic" w:hAnsi="Century Gothic"/>
          <w:b/>
        </w:rPr>
      </w:pPr>
      <w:r w:rsidRPr="005F3C42">
        <w:rPr>
          <w:rFonts w:ascii="Century Gothic" w:hAnsi="Century Gothic"/>
          <w:i w:val="0"/>
          <w:sz w:val="24"/>
          <w:szCs w:val="24"/>
        </w:rPr>
        <w:t>The first part</w:t>
      </w:r>
      <w:r>
        <w:rPr>
          <w:rFonts w:ascii="Century Gothic" w:hAnsi="Century Gothic"/>
          <w:i w:val="0"/>
          <w:sz w:val="24"/>
          <w:szCs w:val="24"/>
        </w:rPr>
        <w:t xml:space="preserve"> of the application questionnaire is required for all applicants.</w:t>
      </w:r>
    </w:p>
    <w:p w:rsidR="005164A4" w:rsidRPr="003F38A3" w:rsidRDefault="005164A4" w:rsidP="005F3C42">
      <w:pPr>
        <w:pStyle w:val="ListParagraph"/>
        <w:numPr>
          <w:ilvl w:val="0"/>
          <w:numId w:val="15"/>
        </w:numPr>
        <w:spacing w:after="120" w:line="360" w:lineRule="auto"/>
        <w:rPr>
          <w:rFonts w:ascii="Century Gothic" w:hAnsi="Century Gothic" w:cs="Times New Roman"/>
          <w:sz w:val="24"/>
        </w:rPr>
      </w:pPr>
      <w:r w:rsidRPr="003F38A3">
        <w:rPr>
          <w:rFonts w:ascii="Century Gothic" w:hAnsi="Century Gothic" w:cs="Times New Roman"/>
          <w:sz w:val="24"/>
        </w:rPr>
        <w:t>Provide the full name and contact information of the proposing organization.</w:t>
      </w:r>
    </w:p>
    <w:p w:rsidR="005164A4" w:rsidRPr="003F38A3" w:rsidRDefault="005164A4" w:rsidP="005F3C42">
      <w:pPr>
        <w:pStyle w:val="ListParagraph"/>
        <w:numPr>
          <w:ilvl w:val="0"/>
          <w:numId w:val="15"/>
        </w:numPr>
        <w:spacing w:after="120" w:line="360" w:lineRule="auto"/>
        <w:rPr>
          <w:rFonts w:ascii="Century Gothic" w:hAnsi="Century Gothic" w:cs="Times New Roman"/>
          <w:sz w:val="24"/>
        </w:rPr>
      </w:pPr>
      <w:r w:rsidRPr="003F38A3">
        <w:rPr>
          <w:rFonts w:ascii="Century Gothic" w:hAnsi="Century Gothic" w:cs="Times New Roman"/>
          <w:sz w:val="24"/>
        </w:rPr>
        <w:t xml:space="preserve">Provide the full name of the proposed investment and related website hyperlink. </w:t>
      </w:r>
    </w:p>
    <w:p w:rsidR="005164A4" w:rsidRPr="003F38A3" w:rsidRDefault="005164A4"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 xml:space="preserve">Provide a historical overview of your firm. </w:t>
      </w:r>
    </w:p>
    <w:p w:rsidR="005164A4" w:rsidRDefault="005164A4"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 xml:space="preserve">Overview structure of the firm, including parent, partner, subsidiaries of your organization. </w:t>
      </w:r>
    </w:p>
    <w:p w:rsidR="00986111" w:rsidRDefault="002349E9" w:rsidP="00367919">
      <w:pPr>
        <w:pStyle w:val="ListParagraph"/>
        <w:numPr>
          <w:ilvl w:val="0"/>
          <w:numId w:val="15"/>
        </w:numPr>
        <w:spacing w:line="360" w:lineRule="auto"/>
        <w:rPr>
          <w:rFonts w:ascii="Century Gothic" w:hAnsi="Century Gothic" w:cs="Times New Roman"/>
          <w:sz w:val="24"/>
        </w:rPr>
      </w:pPr>
      <w:r>
        <w:rPr>
          <w:rFonts w:ascii="Century Gothic" w:hAnsi="Century Gothic" w:cs="Times New Roman"/>
          <w:sz w:val="24"/>
        </w:rPr>
        <w:t>Identify the i</w:t>
      </w:r>
      <w:r w:rsidR="00986111">
        <w:rPr>
          <w:rFonts w:ascii="Century Gothic" w:hAnsi="Century Gothic" w:cs="Times New Roman"/>
          <w:sz w:val="24"/>
        </w:rPr>
        <w:t xml:space="preserve">nvestment committee members and provide professional background details, including </w:t>
      </w:r>
      <w:r w:rsidR="00986111" w:rsidRPr="003F38A3">
        <w:rPr>
          <w:rFonts w:ascii="Century Gothic" w:hAnsi="Century Gothic" w:cs="Times New Roman"/>
          <w:sz w:val="24"/>
        </w:rPr>
        <w:t>titl</w:t>
      </w:r>
      <w:r w:rsidR="00986111">
        <w:rPr>
          <w:rFonts w:ascii="Century Gothic" w:hAnsi="Century Gothic" w:cs="Times New Roman"/>
          <w:sz w:val="24"/>
        </w:rPr>
        <w:t xml:space="preserve">e, </w:t>
      </w:r>
      <w:r w:rsidR="00986111" w:rsidRPr="003F38A3">
        <w:rPr>
          <w:rFonts w:ascii="Century Gothic" w:hAnsi="Century Gothic" w:cs="Times New Roman"/>
          <w:sz w:val="24"/>
        </w:rPr>
        <w:t xml:space="preserve">years at firm, experience, </w:t>
      </w:r>
      <w:r w:rsidR="00CD5879">
        <w:rPr>
          <w:rFonts w:ascii="Century Gothic" w:hAnsi="Century Gothic" w:cs="Times New Roman"/>
          <w:sz w:val="24"/>
        </w:rPr>
        <w:t xml:space="preserve">and </w:t>
      </w:r>
      <w:r w:rsidR="00986111" w:rsidRPr="003F38A3">
        <w:rPr>
          <w:rFonts w:ascii="Century Gothic" w:hAnsi="Century Gothic" w:cs="Times New Roman"/>
          <w:sz w:val="24"/>
        </w:rPr>
        <w:t>duties.</w:t>
      </w:r>
      <w:r w:rsidR="00986111">
        <w:rPr>
          <w:rFonts w:ascii="Century Gothic" w:hAnsi="Century Gothic" w:cs="Times New Roman"/>
          <w:sz w:val="24"/>
        </w:rPr>
        <w:t xml:space="preserve"> How are votes weighed to arrive at a decision?</w:t>
      </w:r>
    </w:p>
    <w:p w:rsidR="00CD5879" w:rsidRDefault="00CE44E3" w:rsidP="00367919">
      <w:pPr>
        <w:pStyle w:val="ListParagraph"/>
        <w:numPr>
          <w:ilvl w:val="0"/>
          <w:numId w:val="15"/>
        </w:numPr>
        <w:spacing w:line="360" w:lineRule="auto"/>
        <w:rPr>
          <w:rFonts w:ascii="Century Gothic" w:hAnsi="Century Gothic" w:cs="Times New Roman"/>
          <w:sz w:val="24"/>
        </w:rPr>
      </w:pPr>
      <w:r>
        <w:rPr>
          <w:rFonts w:ascii="Century Gothic" w:hAnsi="Century Gothic" w:cs="Times New Roman"/>
          <w:sz w:val="24"/>
        </w:rPr>
        <w:t xml:space="preserve">Identify </w:t>
      </w:r>
      <w:r w:rsidR="00CD5879">
        <w:rPr>
          <w:rFonts w:ascii="Century Gothic" w:hAnsi="Century Gothic" w:cs="Times New Roman"/>
          <w:sz w:val="24"/>
        </w:rPr>
        <w:t>other</w:t>
      </w:r>
      <w:r w:rsidR="005164A4" w:rsidRPr="003F38A3">
        <w:rPr>
          <w:rFonts w:ascii="Century Gothic" w:hAnsi="Century Gothic" w:cs="Times New Roman"/>
          <w:sz w:val="24"/>
        </w:rPr>
        <w:t xml:space="preserve"> investment team </w:t>
      </w:r>
      <w:r w:rsidR="00CD5879">
        <w:rPr>
          <w:rFonts w:ascii="Century Gothic" w:hAnsi="Century Gothic" w:cs="Times New Roman"/>
          <w:sz w:val="24"/>
        </w:rPr>
        <w:t xml:space="preserve">members and provide professional background details, including </w:t>
      </w:r>
      <w:r w:rsidR="00CD5879" w:rsidRPr="003F38A3">
        <w:rPr>
          <w:rFonts w:ascii="Century Gothic" w:hAnsi="Century Gothic" w:cs="Times New Roman"/>
          <w:sz w:val="24"/>
        </w:rPr>
        <w:t>titl</w:t>
      </w:r>
      <w:r w:rsidR="00CD5879">
        <w:rPr>
          <w:rFonts w:ascii="Century Gothic" w:hAnsi="Century Gothic" w:cs="Times New Roman"/>
          <w:sz w:val="24"/>
        </w:rPr>
        <w:t xml:space="preserve">e, </w:t>
      </w:r>
      <w:r w:rsidR="00CD5879" w:rsidRPr="003F38A3">
        <w:rPr>
          <w:rFonts w:ascii="Century Gothic" w:hAnsi="Century Gothic" w:cs="Times New Roman"/>
          <w:sz w:val="24"/>
        </w:rPr>
        <w:t xml:space="preserve">years at firm, experience, </w:t>
      </w:r>
      <w:r w:rsidR="00CD5879">
        <w:rPr>
          <w:rFonts w:ascii="Century Gothic" w:hAnsi="Century Gothic" w:cs="Times New Roman"/>
          <w:sz w:val="24"/>
        </w:rPr>
        <w:t xml:space="preserve">and </w:t>
      </w:r>
      <w:r w:rsidR="00CD5879" w:rsidRPr="003F38A3">
        <w:rPr>
          <w:rFonts w:ascii="Century Gothic" w:hAnsi="Century Gothic" w:cs="Times New Roman"/>
          <w:sz w:val="24"/>
        </w:rPr>
        <w:t>duties.</w:t>
      </w:r>
    </w:p>
    <w:p w:rsidR="005164A4" w:rsidRPr="003F38A3" w:rsidRDefault="002349E9" w:rsidP="00367919">
      <w:pPr>
        <w:pStyle w:val="ListParagraph"/>
        <w:numPr>
          <w:ilvl w:val="0"/>
          <w:numId w:val="15"/>
        </w:numPr>
        <w:spacing w:line="360" w:lineRule="auto"/>
        <w:rPr>
          <w:rFonts w:ascii="Century Gothic" w:hAnsi="Century Gothic" w:cs="Times New Roman"/>
          <w:sz w:val="24"/>
        </w:rPr>
      </w:pPr>
      <w:r>
        <w:rPr>
          <w:rFonts w:ascii="Century Gothic" w:hAnsi="Century Gothic" w:cs="Times New Roman"/>
          <w:sz w:val="24"/>
        </w:rPr>
        <w:t>P</w:t>
      </w:r>
      <w:r w:rsidR="005164A4" w:rsidRPr="003F38A3">
        <w:rPr>
          <w:rFonts w:ascii="Century Gothic" w:hAnsi="Century Gothic" w:cs="Times New Roman"/>
          <w:sz w:val="24"/>
        </w:rPr>
        <w:t xml:space="preserve">rovide a detailed description of your investment strategy. </w:t>
      </w:r>
    </w:p>
    <w:p w:rsidR="005164A4" w:rsidRPr="003F38A3" w:rsidRDefault="000B2011"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Describe</w:t>
      </w:r>
      <w:r w:rsidR="005164A4" w:rsidRPr="003F38A3">
        <w:rPr>
          <w:rFonts w:ascii="Century Gothic" w:hAnsi="Century Gothic" w:cs="Times New Roman"/>
          <w:sz w:val="24"/>
        </w:rPr>
        <w:t xml:space="preserve"> the tangible social impacts result</w:t>
      </w:r>
      <w:r w:rsidRPr="003F38A3">
        <w:rPr>
          <w:rFonts w:ascii="Century Gothic" w:hAnsi="Century Gothic" w:cs="Times New Roman"/>
          <w:sz w:val="24"/>
        </w:rPr>
        <w:t>ing</w:t>
      </w:r>
      <w:r w:rsidR="005164A4" w:rsidRPr="003F38A3">
        <w:rPr>
          <w:rFonts w:ascii="Century Gothic" w:hAnsi="Century Gothic" w:cs="Times New Roman"/>
          <w:sz w:val="24"/>
        </w:rPr>
        <w:t xml:space="preserve"> from the investment</w:t>
      </w:r>
      <w:r w:rsidRPr="003F38A3">
        <w:rPr>
          <w:rFonts w:ascii="Century Gothic" w:hAnsi="Century Gothic" w:cs="Times New Roman"/>
          <w:sz w:val="24"/>
        </w:rPr>
        <w:t xml:space="preserve"> (i.e. jobs created)</w:t>
      </w:r>
      <w:r w:rsidR="005164A4" w:rsidRPr="003F38A3">
        <w:rPr>
          <w:rFonts w:ascii="Century Gothic" w:hAnsi="Century Gothic" w:cs="Times New Roman"/>
          <w:sz w:val="24"/>
        </w:rPr>
        <w:t xml:space="preserve">. </w:t>
      </w:r>
    </w:p>
    <w:p w:rsidR="000B2011" w:rsidRPr="003F38A3" w:rsidRDefault="000B2011"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Describe the environment</w:t>
      </w:r>
      <w:r w:rsidR="002349E9">
        <w:rPr>
          <w:rFonts w:ascii="Century Gothic" w:hAnsi="Century Gothic" w:cs="Times New Roman"/>
          <w:sz w:val="24"/>
        </w:rPr>
        <w:t>al</w:t>
      </w:r>
      <w:r w:rsidRPr="003F38A3">
        <w:rPr>
          <w:rFonts w:ascii="Century Gothic" w:hAnsi="Century Gothic" w:cs="Times New Roman"/>
          <w:sz w:val="24"/>
        </w:rPr>
        <w:t xml:space="preserve"> benefit resulting</w:t>
      </w:r>
      <w:r w:rsidR="005164A4" w:rsidRPr="003F38A3">
        <w:rPr>
          <w:rFonts w:ascii="Century Gothic" w:hAnsi="Century Gothic" w:cs="Times New Roman"/>
          <w:sz w:val="24"/>
        </w:rPr>
        <w:t xml:space="preserve"> for the investment. </w:t>
      </w:r>
    </w:p>
    <w:p w:rsidR="00643770" w:rsidRPr="003F38A3" w:rsidRDefault="00643770"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 xml:space="preserve">What percentage of the capital raised in your current and prior investments directly </w:t>
      </w:r>
      <w:r w:rsidR="00F56A5E">
        <w:rPr>
          <w:rFonts w:ascii="Century Gothic" w:hAnsi="Century Gothic" w:cs="Times New Roman"/>
          <w:sz w:val="24"/>
        </w:rPr>
        <w:t>created</w:t>
      </w:r>
      <w:r w:rsidR="00F56A5E" w:rsidRPr="003F38A3">
        <w:rPr>
          <w:rFonts w:ascii="Century Gothic" w:hAnsi="Century Gothic" w:cs="Times New Roman"/>
          <w:sz w:val="24"/>
        </w:rPr>
        <w:t xml:space="preserve"> </w:t>
      </w:r>
      <w:r w:rsidRPr="003F38A3">
        <w:rPr>
          <w:rFonts w:ascii="Century Gothic" w:hAnsi="Century Gothic" w:cs="Times New Roman"/>
          <w:sz w:val="24"/>
        </w:rPr>
        <w:t>social and/or environmental impact (</w:t>
      </w:r>
      <w:r w:rsidR="00F56A5E">
        <w:rPr>
          <w:rFonts w:ascii="Century Gothic" w:hAnsi="Century Gothic" w:cs="Times New Roman"/>
          <w:sz w:val="24"/>
        </w:rPr>
        <w:t xml:space="preserve">i.e. </w:t>
      </w:r>
      <w:r w:rsidRPr="003F38A3">
        <w:rPr>
          <w:rFonts w:ascii="Century Gothic" w:hAnsi="Century Gothic" w:cs="Times New Roman"/>
          <w:sz w:val="24"/>
        </w:rPr>
        <w:t>jobs created, affordable housing units, renewable energy creation, etc.)?</w:t>
      </w:r>
    </w:p>
    <w:p w:rsidR="000B2011" w:rsidRPr="003F38A3" w:rsidRDefault="000B2011"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List the risks involved in the investment process.</w:t>
      </w:r>
    </w:p>
    <w:p w:rsidR="005164A4" w:rsidRPr="003F38A3" w:rsidRDefault="005164A4"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Please summarize the firm's risk management philosophy or types of risk measures the firm use</w:t>
      </w:r>
      <w:r w:rsidR="00CE44E3">
        <w:rPr>
          <w:rFonts w:ascii="Century Gothic" w:hAnsi="Century Gothic" w:cs="Times New Roman"/>
          <w:sz w:val="24"/>
        </w:rPr>
        <w:t>s</w:t>
      </w:r>
      <w:r w:rsidRPr="003F38A3">
        <w:rPr>
          <w:rFonts w:ascii="Century Gothic" w:hAnsi="Century Gothic" w:cs="Times New Roman"/>
          <w:sz w:val="24"/>
        </w:rPr>
        <w:t xml:space="preserve"> in its risk management function</w:t>
      </w:r>
      <w:r w:rsidR="000B2011" w:rsidRPr="003F38A3">
        <w:rPr>
          <w:rFonts w:ascii="Century Gothic" w:hAnsi="Century Gothic" w:cs="Times New Roman"/>
          <w:sz w:val="24"/>
        </w:rPr>
        <w:t>.</w:t>
      </w:r>
    </w:p>
    <w:p w:rsidR="005164A4" w:rsidRPr="003F38A3" w:rsidRDefault="000B2011"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 xml:space="preserve">Provide </w:t>
      </w:r>
      <w:r w:rsidR="005164A4" w:rsidRPr="003F38A3">
        <w:rPr>
          <w:rFonts w:ascii="Century Gothic" w:hAnsi="Century Gothic" w:cs="Times New Roman"/>
          <w:sz w:val="24"/>
        </w:rPr>
        <w:t xml:space="preserve">the performance of each of your previous </w:t>
      </w:r>
      <w:r w:rsidRPr="003F38A3">
        <w:rPr>
          <w:rFonts w:ascii="Century Gothic" w:hAnsi="Century Gothic" w:cs="Times New Roman"/>
          <w:sz w:val="24"/>
        </w:rPr>
        <w:t>(</w:t>
      </w:r>
      <w:r w:rsidR="005164A4" w:rsidRPr="003F38A3">
        <w:rPr>
          <w:rFonts w:ascii="Century Gothic" w:hAnsi="Century Gothic" w:cs="Times New Roman"/>
          <w:sz w:val="24"/>
        </w:rPr>
        <w:t>similar</w:t>
      </w:r>
      <w:r w:rsidRPr="003F38A3">
        <w:rPr>
          <w:rFonts w:ascii="Century Gothic" w:hAnsi="Century Gothic" w:cs="Times New Roman"/>
          <w:sz w:val="24"/>
        </w:rPr>
        <w:t>)</w:t>
      </w:r>
      <w:r w:rsidR="005164A4" w:rsidRPr="003F38A3">
        <w:rPr>
          <w:rFonts w:ascii="Century Gothic" w:hAnsi="Century Gothic" w:cs="Times New Roman"/>
          <w:sz w:val="24"/>
        </w:rPr>
        <w:t xml:space="preserve"> investments. Also provide us your forecasted performance of the proposed investment. On what basis is it determined? (See Appendix </w:t>
      </w:r>
      <w:r w:rsidR="00ED5FEC" w:rsidRPr="003F38A3">
        <w:rPr>
          <w:rFonts w:ascii="Century Gothic" w:hAnsi="Century Gothic" w:cs="Times New Roman"/>
          <w:sz w:val="24"/>
        </w:rPr>
        <w:t>I</w:t>
      </w:r>
      <w:r w:rsidR="00ED5FEC">
        <w:rPr>
          <w:rFonts w:ascii="Century Gothic" w:hAnsi="Century Gothic" w:cs="Times New Roman"/>
          <w:sz w:val="24"/>
        </w:rPr>
        <w:t>V</w:t>
      </w:r>
      <w:r w:rsidR="00ED5FEC" w:rsidRPr="003F38A3">
        <w:rPr>
          <w:rFonts w:ascii="Century Gothic" w:hAnsi="Century Gothic" w:cs="Times New Roman"/>
          <w:sz w:val="24"/>
        </w:rPr>
        <w:t xml:space="preserve"> </w:t>
      </w:r>
      <w:r w:rsidR="005164A4" w:rsidRPr="003F38A3">
        <w:rPr>
          <w:rFonts w:ascii="Century Gothic" w:hAnsi="Century Gothic" w:cs="Times New Roman"/>
          <w:sz w:val="24"/>
        </w:rPr>
        <w:t>for the example performance parameters)</w:t>
      </w:r>
    </w:p>
    <w:p w:rsidR="005164A4" w:rsidRPr="003F38A3" w:rsidRDefault="005164A4"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Provide the appropriate performance benchmark for your proposed investment using the most up-to-date data. Provide reasons why the benchmark is reasonable</w:t>
      </w:r>
      <w:r w:rsidR="00423454">
        <w:rPr>
          <w:rFonts w:ascii="Century Gothic" w:hAnsi="Century Gothic" w:cs="Times New Roman"/>
          <w:sz w:val="24"/>
        </w:rPr>
        <w:t>,</w:t>
      </w:r>
      <w:r w:rsidRPr="003F38A3">
        <w:rPr>
          <w:rFonts w:ascii="Century Gothic" w:hAnsi="Century Gothic" w:cs="Times New Roman"/>
          <w:sz w:val="24"/>
        </w:rPr>
        <w:t xml:space="preserve"> specifically to your proposed investment</w:t>
      </w:r>
      <w:r w:rsidR="000B2011" w:rsidRPr="003F38A3">
        <w:rPr>
          <w:rFonts w:ascii="Century Gothic" w:hAnsi="Century Gothic" w:cs="Times New Roman"/>
          <w:sz w:val="24"/>
        </w:rPr>
        <w:t>,</w:t>
      </w:r>
      <w:r w:rsidRPr="003F38A3">
        <w:rPr>
          <w:rFonts w:ascii="Century Gothic" w:hAnsi="Century Gothic" w:cs="Times New Roman"/>
          <w:sz w:val="24"/>
        </w:rPr>
        <w:t xml:space="preserve"> </w:t>
      </w:r>
      <w:r w:rsidR="000B2011" w:rsidRPr="003F38A3">
        <w:rPr>
          <w:rFonts w:ascii="Century Gothic" w:hAnsi="Century Gothic" w:cs="Times New Roman"/>
          <w:sz w:val="24"/>
        </w:rPr>
        <w:t>i</w:t>
      </w:r>
      <w:r w:rsidRPr="003F38A3">
        <w:rPr>
          <w:rFonts w:ascii="Century Gothic" w:hAnsi="Century Gothic" w:cs="Times New Roman"/>
          <w:sz w:val="24"/>
        </w:rPr>
        <w:t>f it is different f</w:t>
      </w:r>
      <w:r w:rsidR="000B2011" w:rsidRPr="003F38A3">
        <w:rPr>
          <w:rFonts w:ascii="Century Gothic" w:hAnsi="Century Gothic" w:cs="Times New Roman"/>
          <w:sz w:val="24"/>
        </w:rPr>
        <w:t xml:space="preserve">rom the example in Appendix </w:t>
      </w:r>
      <w:r w:rsidR="00ED5FEC" w:rsidRPr="003F38A3">
        <w:rPr>
          <w:rFonts w:ascii="Century Gothic" w:hAnsi="Century Gothic" w:cs="Times New Roman"/>
          <w:sz w:val="24"/>
        </w:rPr>
        <w:t>I</w:t>
      </w:r>
      <w:r w:rsidR="00ED5FEC">
        <w:rPr>
          <w:rFonts w:ascii="Century Gothic" w:hAnsi="Century Gothic" w:cs="Times New Roman"/>
          <w:sz w:val="24"/>
        </w:rPr>
        <w:t>V</w:t>
      </w:r>
      <w:r w:rsidR="000B2011" w:rsidRPr="003F38A3">
        <w:rPr>
          <w:rFonts w:ascii="Century Gothic" w:hAnsi="Century Gothic" w:cs="Times New Roman"/>
          <w:sz w:val="24"/>
        </w:rPr>
        <w:t>. If the performance is no</w:t>
      </w:r>
      <w:r w:rsidR="00ED5FEC">
        <w:rPr>
          <w:rFonts w:ascii="Century Gothic" w:hAnsi="Century Gothic" w:cs="Times New Roman"/>
          <w:sz w:val="24"/>
        </w:rPr>
        <w:t>t</w:t>
      </w:r>
      <w:r w:rsidR="000B2011" w:rsidRPr="003F38A3">
        <w:rPr>
          <w:rFonts w:ascii="Century Gothic" w:hAnsi="Century Gothic" w:cs="Times New Roman"/>
          <w:sz w:val="24"/>
        </w:rPr>
        <w:t xml:space="preserve"> outstanding, please </w:t>
      </w:r>
      <w:r w:rsidRPr="003F38A3">
        <w:rPr>
          <w:rFonts w:ascii="Century Gothic" w:hAnsi="Century Gothic" w:cs="Times New Roman"/>
          <w:sz w:val="24"/>
        </w:rPr>
        <w:t xml:space="preserve">explain the reason </w:t>
      </w:r>
      <w:r w:rsidR="000B2011" w:rsidRPr="003F38A3">
        <w:rPr>
          <w:rFonts w:ascii="Century Gothic" w:hAnsi="Century Gothic" w:cs="Times New Roman"/>
          <w:sz w:val="24"/>
        </w:rPr>
        <w:t>to assist COIN</w:t>
      </w:r>
      <w:r w:rsidR="00ED5FEC">
        <w:rPr>
          <w:rFonts w:ascii="Century Gothic" w:hAnsi="Century Gothic" w:cs="Times New Roman"/>
          <w:sz w:val="24"/>
        </w:rPr>
        <w:t>.</w:t>
      </w:r>
      <w:r w:rsidRPr="003F38A3">
        <w:rPr>
          <w:rFonts w:ascii="Century Gothic" w:hAnsi="Century Gothic" w:cs="Times New Roman"/>
          <w:sz w:val="24"/>
        </w:rPr>
        <w:t xml:space="preserve"> (See Appendix </w:t>
      </w:r>
      <w:r w:rsidR="00ED5FEC" w:rsidRPr="003F38A3">
        <w:rPr>
          <w:rFonts w:ascii="Century Gothic" w:hAnsi="Century Gothic" w:cs="Times New Roman"/>
          <w:sz w:val="24"/>
        </w:rPr>
        <w:t>I</w:t>
      </w:r>
      <w:r w:rsidR="00ED5FEC">
        <w:rPr>
          <w:rFonts w:ascii="Century Gothic" w:hAnsi="Century Gothic" w:cs="Times New Roman"/>
          <w:sz w:val="24"/>
        </w:rPr>
        <w:t>V</w:t>
      </w:r>
      <w:r w:rsidR="00ED5FEC" w:rsidRPr="003F38A3">
        <w:rPr>
          <w:rFonts w:ascii="Century Gothic" w:hAnsi="Century Gothic" w:cs="Times New Roman"/>
          <w:sz w:val="24"/>
        </w:rPr>
        <w:t xml:space="preserve"> </w:t>
      </w:r>
      <w:r w:rsidRPr="003F38A3">
        <w:rPr>
          <w:rFonts w:ascii="Century Gothic" w:hAnsi="Century Gothic" w:cs="Times New Roman"/>
          <w:sz w:val="24"/>
        </w:rPr>
        <w:t>for the example of performance parameters</w:t>
      </w:r>
      <w:r w:rsidR="00ED5FEC">
        <w:rPr>
          <w:rFonts w:ascii="Century Gothic" w:hAnsi="Century Gothic" w:cs="Times New Roman"/>
          <w:sz w:val="24"/>
        </w:rPr>
        <w:t>.</w:t>
      </w:r>
      <w:r w:rsidRPr="003F38A3">
        <w:rPr>
          <w:rFonts w:ascii="Century Gothic" w:hAnsi="Century Gothic" w:cs="Times New Roman"/>
          <w:sz w:val="24"/>
        </w:rPr>
        <w:t>)</w:t>
      </w:r>
    </w:p>
    <w:p w:rsidR="00AB621E" w:rsidRPr="003F38A3" w:rsidRDefault="00AB621E" w:rsidP="00367919">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lastRenderedPageBreak/>
        <w:t>Please define the type of your investment according NAIC investment schedules as shown in the Appendix I</w:t>
      </w:r>
      <w:r w:rsidR="00ED5FEC">
        <w:rPr>
          <w:rFonts w:ascii="Century Gothic" w:hAnsi="Century Gothic" w:cs="Times New Roman"/>
          <w:sz w:val="24"/>
        </w:rPr>
        <w:t>I</w:t>
      </w:r>
      <w:r w:rsidRPr="003F38A3">
        <w:rPr>
          <w:rFonts w:ascii="Century Gothic" w:hAnsi="Century Gothic" w:cs="Times New Roman"/>
          <w:sz w:val="24"/>
        </w:rPr>
        <w:t xml:space="preserve"> (please define it in every tier). </w:t>
      </w:r>
    </w:p>
    <w:p w:rsidR="00BA20AA" w:rsidRDefault="003A0D27" w:rsidP="005F3C42">
      <w:pPr>
        <w:spacing w:line="360" w:lineRule="auto"/>
        <w:rPr>
          <w:rFonts w:ascii="Century Gothic" w:hAnsi="Century Gothic" w:cs="Times New Roman"/>
          <w:b/>
          <w:sz w:val="24"/>
          <w:u w:val="single"/>
        </w:rPr>
      </w:pPr>
      <w:r w:rsidRPr="005F3C42">
        <w:rPr>
          <w:rFonts w:ascii="Century Gothic" w:hAnsi="Century Gothic" w:cs="Times New Roman"/>
          <w:b/>
          <w:sz w:val="24"/>
          <w:u w:val="single"/>
        </w:rPr>
        <w:t>PART II</w:t>
      </w:r>
    </w:p>
    <w:p w:rsidR="00DE4DF8" w:rsidRPr="003F38A3" w:rsidRDefault="00DE4DF8" w:rsidP="00DE4DF8">
      <w:pPr>
        <w:spacing w:line="360" w:lineRule="auto"/>
        <w:ind w:left="360"/>
        <w:rPr>
          <w:rFonts w:ascii="Century Gothic" w:hAnsi="Century Gothic" w:cs="Times New Roman"/>
          <w:sz w:val="24"/>
        </w:rPr>
      </w:pPr>
      <w:r w:rsidRPr="003F38A3">
        <w:rPr>
          <w:rFonts w:ascii="Century Gothic" w:hAnsi="Century Gothic" w:cs="Times New Roman"/>
          <w:sz w:val="24"/>
        </w:rPr>
        <w:t>For Part II</w:t>
      </w:r>
      <w:r w:rsidRPr="00DE4DF8">
        <w:rPr>
          <w:rFonts w:ascii="Century Gothic" w:hAnsi="Century Gothic" w:cs="Times New Roman"/>
          <w:sz w:val="24"/>
        </w:rPr>
        <w:t xml:space="preserve"> </w:t>
      </w:r>
      <w:r>
        <w:rPr>
          <w:rFonts w:ascii="Century Gothic" w:hAnsi="Century Gothic" w:cs="Times New Roman"/>
          <w:sz w:val="24"/>
        </w:rPr>
        <w:t xml:space="preserve">of </w:t>
      </w:r>
      <w:r w:rsidRPr="003F38A3">
        <w:rPr>
          <w:rFonts w:ascii="Century Gothic" w:hAnsi="Century Gothic" w:cs="Times New Roman"/>
          <w:sz w:val="24"/>
        </w:rPr>
        <w:t xml:space="preserve">the questionnaire, </w:t>
      </w:r>
      <w:r>
        <w:rPr>
          <w:rFonts w:ascii="Century Gothic" w:hAnsi="Century Gothic" w:cs="Times New Roman"/>
          <w:sz w:val="24"/>
        </w:rPr>
        <w:t xml:space="preserve">only </w:t>
      </w:r>
      <w:r w:rsidRPr="003F38A3">
        <w:rPr>
          <w:rFonts w:ascii="Century Gothic" w:hAnsi="Century Gothic" w:cs="Times New Roman"/>
          <w:sz w:val="24"/>
        </w:rPr>
        <w:t xml:space="preserve">answer questions that </w:t>
      </w:r>
      <w:r>
        <w:rPr>
          <w:rFonts w:ascii="Century Gothic" w:hAnsi="Century Gothic" w:cs="Times New Roman"/>
          <w:sz w:val="24"/>
        </w:rPr>
        <w:t xml:space="preserve">apply </w:t>
      </w:r>
      <w:r w:rsidRPr="003F38A3">
        <w:rPr>
          <w:rFonts w:ascii="Century Gothic" w:hAnsi="Century Gothic" w:cs="Times New Roman"/>
          <w:sz w:val="24"/>
        </w:rPr>
        <w:t>to the asset class (schedule) of your proposed investment strategy.</w:t>
      </w:r>
    </w:p>
    <w:p w:rsidR="00BA20AA" w:rsidRPr="005F3C42" w:rsidRDefault="00BA20AA" w:rsidP="00AB621E">
      <w:pPr>
        <w:spacing w:line="360" w:lineRule="auto"/>
        <w:ind w:left="360"/>
        <w:rPr>
          <w:rFonts w:ascii="Century Gothic" w:hAnsi="Century Gothic" w:cs="Times New Roman"/>
          <w:sz w:val="24"/>
        </w:rPr>
      </w:pPr>
      <w:r w:rsidRPr="005F3C42">
        <w:rPr>
          <w:rFonts w:ascii="Century Gothic" w:hAnsi="Century Gothic" w:cs="Times New Roman"/>
          <w:b/>
          <w:sz w:val="24"/>
        </w:rPr>
        <w:t>Questions 15 – 20</w:t>
      </w:r>
      <w:r>
        <w:rPr>
          <w:rFonts w:ascii="Century Gothic" w:hAnsi="Century Gothic" w:cs="Times New Roman"/>
          <w:sz w:val="24"/>
        </w:rPr>
        <w:t xml:space="preserve">: </w:t>
      </w:r>
      <w:r w:rsidR="00423454">
        <w:rPr>
          <w:rFonts w:ascii="Century Gothic" w:hAnsi="Century Gothic" w:cs="Times New Roman"/>
          <w:sz w:val="24"/>
        </w:rPr>
        <w:t xml:space="preserve">Schedule </w:t>
      </w:r>
      <w:proofErr w:type="spellStart"/>
      <w:proofErr w:type="gramStart"/>
      <w:r w:rsidR="00423454">
        <w:rPr>
          <w:rFonts w:ascii="Century Gothic" w:hAnsi="Century Gothic" w:cs="Times New Roman"/>
          <w:sz w:val="24"/>
        </w:rPr>
        <w:t>A</w:t>
      </w:r>
      <w:proofErr w:type="spellEnd"/>
      <w:proofErr w:type="gramEnd"/>
      <w:r w:rsidR="00423454">
        <w:rPr>
          <w:rFonts w:ascii="Century Gothic" w:hAnsi="Century Gothic" w:cs="Times New Roman"/>
          <w:sz w:val="24"/>
        </w:rPr>
        <w:t xml:space="preserve"> Investment Questions –</w:t>
      </w:r>
      <w:r w:rsidR="002572F9">
        <w:rPr>
          <w:rFonts w:ascii="Century Gothic" w:hAnsi="Century Gothic" w:cs="Times New Roman"/>
          <w:sz w:val="24"/>
        </w:rPr>
        <w:t xml:space="preserve"> </w:t>
      </w:r>
      <w:r w:rsidR="002572F9" w:rsidRPr="002572F9">
        <w:rPr>
          <w:rFonts w:ascii="Century Gothic" w:hAnsi="Century Gothic" w:cs="Times New Roman"/>
          <w:sz w:val="24"/>
        </w:rPr>
        <w:t>Real</w:t>
      </w:r>
      <w:r w:rsidR="00423454">
        <w:rPr>
          <w:rFonts w:ascii="Century Gothic" w:hAnsi="Century Gothic" w:cs="Times New Roman"/>
          <w:sz w:val="24"/>
        </w:rPr>
        <w:t xml:space="preserve"> </w:t>
      </w:r>
      <w:r w:rsidR="002572F9" w:rsidRPr="002572F9">
        <w:rPr>
          <w:rFonts w:ascii="Century Gothic" w:hAnsi="Century Gothic" w:cs="Times New Roman"/>
          <w:sz w:val="24"/>
        </w:rPr>
        <w:t>Estate Investment</w:t>
      </w:r>
      <w:r w:rsidR="002572F9">
        <w:rPr>
          <w:rFonts w:ascii="Century Gothic" w:hAnsi="Century Gothic" w:cs="Times New Roman"/>
          <w:sz w:val="24"/>
        </w:rPr>
        <w:t>s</w:t>
      </w:r>
    </w:p>
    <w:p w:rsidR="00BA20AA" w:rsidRDefault="00BA20AA" w:rsidP="00AB621E">
      <w:pPr>
        <w:spacing w:line="360" w:lineRule="auto"/>
        <w:ind w:left="360"/>
        <w:rPr>
          <w:rFonts w:ascii="Century Gothic" w:hAnsi="Century Gothic" w:cs="Times New Roman"/>
          <w:sz w:val="24"/>
        </w:rPr>
      </w:pPr>
      <w:r w:rsidRPr="005F3C42">
        <w:rPr>
          <w:rFonts w:ascii="Century Gothic" w:hAnsi="Century Gothic" w:cs="Times New Roman"/>
          <w:b/>
          <w:sz w:val="24"/>
        </w:rPr>
        <w:t xml:space="preserve">Questions 21 – </w:t>
      </w:r>
      <w:r>
        <w:rPr>
          <w:rFonts w:ascii="Century Gothic" w:hAnsi="Century Gothic" w:cs="Times New Roman"/>
          <w:b/>
          <w:sz w:val="24"/>
        </w:rPr>
        <w:t>31</w:t>
      </w:r>
      <w:r>
        <w:rPr>
          <w:rFonts w:ascii="Century Gothic" w:hAnsi="Century Gothic" w:cs="Times New Roman"/>
          <w:sz w:val="24"/>
        </w:rPr>
        <w:t xml:space="preserve">: </w:t>
      </w:r>
      <w:r w:rsidR="002572F9">
        <w:rPr>
          <w:rFonts w:ascii="Century Gothic" w:hAnsi="Century Gothic" w:cs="Times New Roman"/>
          <w:sz w:val="24"/>
        </w:rPr>
        <w:t>Schedule B Investment Questions</w:t>
      </w:r>
      <w:r w:rsidR="00423454">
        <w:rPr>
          <w:rFonts w:ascii="Century Gothic" w:hAnsi="Century Gothic" w:cs="Times New Roman"/>
          <w:sz w:val="24"/>
        </w:rPr>
        <w:t xml:space="preserve"> –</w:t>
      </w:r>
      <w:r>
        <w:rPr>
          <w:rFonts w:ascii="Century Gothic" w:hAnsi="Century Gothic" w:cs="Times New Roman"/>
          <w:sz w:val="24"/>
        </w:rPr>
        <w:t xml:space="preserve"> </w:t>
      </w:r>
      <w:r w:rsidRPr="005F3C42">
        <w:rPr>
          <w:rFonts w:ascii="Century Gothic" w:hAnsi="Century Gothic" w:cs="Times New Roman"/>
          <w:sz w:val="24"/>
        </w:rPr>
        <w:t>Commercial</w:t>
      </w:r>
      <w:r w:rsidR="00423454">
        <w:rPr>
          <w:rFonts w:ascii="Century Gothic" w:hAnsi="Century Gothic" w:cs="Times New Roman"/>
          <w:sz w:val="24"/>
        </w:rPr>
        <w:t xml:space="preserve"> </w:t>
      </w:r>
      <w:r w:rsidRPr="005F3C42">
        <w:rPr>
          <w:rFonts w:ascii="Century Gothic" w:hAnsi="Century Gothic" w:cs="Times New Roman"/>
          <w:sz w:val="24"/>
        </w:rPr>
        <w:t>and Residential Mortgage</w:t>
      </w:r>
      <w:r>
        <w:rPr>
          <w:rFonts w:ascii="Century Gothic" w:hAnsi="Century Gothic" w:cs="Times New Roman"/>
          <w:sz w:val="24"/>
        </w:rPr>
        <w:t xml:space="preserve"> Investments</w:t>
      </w:r>
    </w:p>
    <w:p w:rsidR="00BA20AA" w:rsidRDefault="00BA20AA" w:rsidP="00AB621E">
      <w:pPr>
        <w:spacing w:line="360" w:lineRule="auto"/>
        <w:ind w:left="360"/>
        <w:rPr>
          <w:rFonts w:ascii="Century Gothic" w:hAnsi="Century Gothic" w:cs="Times New Roman"/>
          <w:sz w:val="24"/>
        </w:rPr>
      </w:pPr>
      <w:r w:rsidRPr="005F3C42">
        <w:rPr>
          <w:rFonts w:ascii="Century Gothic" w:hAnsi="Century Gothic" w:cs="Times New Roman"/>
          <w:b/>
          <w:sz w:val="24"/>
        </w:rPr>
        <w:t>Questions 32 – 42</w:t>
      </w:r>
      <w:r>
        <w:rPr>
          <w:rFonts w:ascii="Century Gothic" w:hAnsi="Century Gothic" w:cs="Times New Roman"/>
          <w:sz w:val="24"/>
        </w:rPr>
        <w:t>: S</w:t>
      </w:r>
      <w:r w:rsidR="002572F9">
        <w:rPr>
          <w:rFonts w:ascii="Century Gothic" w:hAnsi="Century Gothic" w:cs="Times New Roman"/>
          <w:sz w:val="24"/>
        </w:rPr>
        <w:t>chedule BA Investment Questions</w:t>
      </w:r>
    </w:p>
    <w:p w:rsidR="00BA20AA" w:rsidRPr="005F3C42" w:rsidRDefault="002572F9" w:rsidP="005F3C42">
      <w:pPr>
        <w:spacing w:line="240" w:lineRule="auto"/>
        <w:ind w:left="360"/>
        <w:rPr>
          <w:rFonts w:ascii="Century Gothic" w:hAnsi="Century Gothic" w:cs="Times New Roman"/>
          <w:sz w:val="24"/>
        </w:rPr>
      </w:pPr>
      <w:r>
        <w:rPr>
          <w:rFonts w:ascii="Century Gothic" w:hAnsi="Century Gothic" w:cs="Times New Roman"/>
          <w:b/>
          <w:sz w:val="24"/>
        </w:rPr>
        <w:t xml:space="preserve">Questions 43 </w:t>
      </w:r>
      <w:r w:rsidRPr="005F3C42">
        <w:rPr>
          <w:rFonts w:ascii="Century Gothic" w:hAnsi="Century Gothic" w:cs="Times New Roman"/>
          <w:b/>
          <w:sz w:val="24"/>
        </w:rPr>
        <w:t>– 46</w:t>
      </w:r>
      <w:r>
        <w:rPr>
          <w:rFonts w:ascii="Century Gothic" w:hAnsi="Century Gothic" w:cs="Times New Roman"/>
          <w:sz w:val="24"/>
        </w:rPr>
        <w:t>: Schedule D Investment Questions</w:t>
      </w:r>
    </w:p>
    <w:p w:rsidR="00423454" w:rsidRDefault="00423454" w:rsidP="005F3C42">
      <w:pPr>
        <w:spacing w:line="240" w:lineRule="auto"/>
        <w:rPr>
          <w:rFonts w:ascii="Century Gothic" w:hAnsi="Century Gothic" w:cs="Times New Roman"/>
          <w:b/>
          <w:sz w:val="24"/>
        </w:rPr>
      </w:pPr>
    </w:p>
    <w:p w:rsidR="005164A4" w:rsidRPr="003F38A3" w:rsidRDefault="005164A4" w:rsidP="005F3C42">
      <w:pPr>
        <w:spacing w:line="240" w:lineRule="auto"/>
        <w:rPr>
          <w:rFonts w:ascii="Century Gothic" w:hAnsi="Century Gothic" w:cs="Times New Roman"/>
          <w:b/>
          <w:sz w:val="24"/>
        </w:rPr>
      </w:pPr>
      <w:r w:rsidRPr="003F38A3">
        <w:rPr>
          <w:rFonts w:ascii="Century Gothic" w:hAnsi="Century Gothic" w:cs="Times New Roman"/>
          <w:b/>
          <w:sz w:val="24"/>
        </w:rPr>
        <w:t>Schedule A</w:t>
      </w:r>
      <w:r w:rsidR="00BA20AA">
        <w:rPr>
          <w:rFonts w:ascii="Century Gothic" w:hAnsi="Century Gothic" w:cs="Times New Roman"/>
          <w:b/>
          <w:sz w:val="24"/>
        </w:rPr>
        <w:t>:</w:t>
      </w:r>
      <w:r w:rsidR="000B2011" w:rsidRPr="003F38A3">
        <w:rPr>
          <w:rFonts w:ascii="Century Gothic" w:hAnsi="Century Gothic" w:cs="Times New Roman"/>
          <w:b/>
          <w:sz w:val="24"/>
        </w:rPr>
        <w:t xml:space="preserve"> Investment Questions</w:t>
      </w:r>
    </w:p>
    <w:p w:rsidR="00FC55A8" w:rsidRPr="003F38A3" w:rsidRDefault="00FC55A8" w:rsidP="00A83B9B">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Provide</w:t>
      </w:r>
      <w:r w:rsidR="005164A4" w:rsidRPr="003F38A3">
        <w:rPr>
          <w:rFonts w:ascii="Century Gothic" w:hAnsi="Century Gothic" w:cs="Times New Roman"/>
          <w:sz w:val="24"/>
        </w:rPr>
        <w:t xml:space="preserve"> the following </w:t>
      </w:r>
      <w:r w:rsidR="00AB621E" w:rsidRPr="003F38A3">
        <w:rPr>
          <w:rFonts w:ascii="Century Gothic" w:hAnsi="Century Gothic" w:cs="Times New Roman"/>
          <w:sz w:val="24"/>
        </w:rPr>
        <w:t>information</w:t>
      </w:r>
      <w:r w:rsidR="005164A4" w:rsidRPr="003F38A3">
        <w:rPr>
          <w:rFonts w:ascii="Century Gothic" w:hAnsi="Century Gothic" w:cs="Times New Roman"/>
          <w:sz w:val="24"/>
        </w:rPr>
        <w:t xml:space="preserve"> for real estate investment</w:t>
      </w:r>
      <w:r w:rsidR="00F56A5E">
        <w:rPr>
          <w:rFonts w:ascii="Century Gothic" w:hAnsi="Century Gothic" w:cs="Times New Roman"/>
          <w:sz w:val="24"/>
        </w:rPr>
        <w:t>s</w:t>
      </w:r>
      <w:r w:rsidR="005164A4" w:rsidRPr="003F38A3">
        <w:rPr>
          <w:rFonts w:ascii="Century Gothic" w:hAnsi="Century Gothic" w:cs="Times New Roman"/>
          <w:sz w:val="24"/>
        </w:rPr>
        <w:t xml:space="preserve"> in Schedule A using </w:t>
      </w:r>
      <w:r w:rsidR="00F56A5E">
        <w:rPr>
          <w:rFonts w:ascii="Century Gothic" w:hAnsi="Century Gothic" w:cs="Times New Roman"/>
          <w:sz w:val="24"/>
        </w:rPr>
        <w:t xml:space="preserve">a </w:t>
      </w:r>
      <w:r w:rsidR="005164A4" w:rsidRPr="003F38A3">
        <w:rPr>
          <w:rFonts w:ascii="Century Gothic" w:hAnsi="Century Gothic" w:cs="Times New Roman"/>
          <w:sz w:val="24"/>
        </w:rPr>
        <w:t>concise description</w:t>
      </w:r>
      <w:r w:rsidR="00F56A5E">
        <w:rPr>
          <w:rFonts w:ascii="Century Gothic" w:hAnsi="Century Gothic" w:cs="Times New Roman"/>
          <w:sz w:val="24"/>
        </w:rPr>
        <w:t>:</w:t>
      </w:r>
    </w:p>
    <w:tbl>
      <w:tblPr>
        <w:tblStyle w:val="TableGrid"/>
        <w:tblW w:w="0" w:type="auto"/>
        <w:tblInd w:w="720" w:type="dxa"/>
        <w:tblLook w:val="04A0" w:firstRow="1" w:lastRow="0" w:firstColumn="1" w:lastColumn="0" w:noHBand="0" w:noVBand="1"/>
      </w:tblPr>
      <w:tblGrid>
        <w:gridCol w:w="4379"/>
        <w:gridCol w:w="4251"/>
      </w:tblGrid>
      <w:tr w:rsidR="005164A4" w:rsidRPr="003F38A3" w:rsidTr="005F3C42">
        <w:tc>
          <w:tcPr>
            <w:tcW w:w="4488" w:type="dxa"/>
            <w:vAlign w:val="bottom"/>
          </w:tcPr>
          <w:p w:rsidR="005164A4" w:rsidRPr="005F3C42" w:rsidRDefault="00A83B9B" w:rsidP="005F3C42">
            <w:pPr>
              <w:pStyle w:val="ListParagraph"/>
              <w:spacing w:line="360" w:lineRule="auto"/>
              <w:ind w:left="0"/>
              <w:rPr>
                <w:rFonts w:ascii="Century Gothic" w:hAnsi="Century Gothic" w:cs="Times New Roman"/>
                <w:b/>
                <w:sz w:val="24"/>
              </w:rPr>
            </w:pPr>
            <w:r w:rsidRPr="005F3C42">
              <w:rPr>
                <w:rFonts w:ascii="Century Gothic" w:hAnsi="Century Gothic" w:cs="Times New Roman"/>
                <w:b/>
                <w:sz w:val="24"/>
              </w:rPr>
              <w:t>Schedule A – Real Estate</w:t>
            </w:r>
          </w:p>
        </w:tc>
        <w:tc>
          <w:tcPr>
            <w:tcW w:w="4368" w:type="dxa"/>
            <w:vAlign w:val="bottom"/>
          </w:tcPr>
          <w:p w:rsidR="005164A4" w:rsidRPr="005F3C42" w:rsidRDefault="00A83B9B" w:rsidP="005F3C42">
            <w:pPr>
              <w:pStyle w:val="ListParagraph"/>
              <w:spacing w:line="360" w:lineRule="auto"/>
              <w:ind w:left="0"/>
              <w:rPr>
                <w:rFonts w:ascii="Century Gothic" w:hAnsi="Century Gothic" w:cs="Times New Roman"/>
                <w:b/>
                <w:sz w:val="24"/>
              </w:rPr>
            </w:pPr>
            <w:r w:rsidRPr="005F3C42">
              <w:rPr>
                <w:rFonts w:ascii="Century Gothic" w:hAnsi="Century Gothic" w:cs="Times New Roman"/>
                <w:b/>
                <w:sz w:val="24"/>
              </w:rPr>
              <w:t>Brief Description</w:t>
            </w:r>
          </w:p>
        </w:tc>
      </w:tr>
      <w:tr w:rsidR="00A83B9B" w:rsidRPr="003F38A3" w:rsidTr="000B2011">
        <w:tc>
          <w:tcPr>
            <w:tcW w:w="4488" w:type="dxa"/>
          </w:tcPr>
          <w:p w:rsidR="00A83B9B" w:rsidRPr="003F38A3" w:rsidRDefault="00A83B9B"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Expected Vacancy rate</w:t>
            </w:r>
          </w:p>
        </w:tc>
        <w:tc>
          <w:tcPr>
            <w:tcW w:w="4368" w:type="dxa"/>
          </w:tcPr>
          <w:p w:rsidR="00A83B9B" w:rsidRPr="003F38A3" w:rsidRDefault="00A83B9B" w:rsidP="000B2011">
            <w:pPr>
              <w:pStyle w:val="ListParagraph"/>
              <w:spacing w:line="360" w:lineRule="auto"/>
              <w:ind w:left="0"/>
              <w:rPr>
                <w:rFonts w:ascii="Century Gothic" w:hAnsi="Century Gothic" w:cs="Times New Roman"/>
                <w:sz w:val="24"/>
              </w:rPr>
            </w:pPr>
          </w:p>
        </w:tc>
      </w:tr>
      <w:tr w:rsidR="005164A4" w:rsidRPr="003F38A3" w:rsidTr="000B2011">
        <w:tc>
          <w:tcPr>
            <w:tcW w:w="4488" w:type="dxa"/>
          </w:tcPr>
          <w:p w:rsidR="005164A4" w:rsidRPr="003F38A3" w:rsidRDefault="005164A4"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Life cycle</w:t>
            </w:r>
          </w:p>
        </w:tc>
        <w:tc>
          <w:tcPr>
            <w:tcW w:w="4368" w:type="dxa"/>
          </w:tcPr>
          <w:p w:rsidR="005164A4" w:rsidRPr="003F38A3" w:rsidRDefault="005164A4" w:rsidP="000B2011">
            <w:pPr>
              <w:pStyle w:val="ListParagraph"/>
              <w:spacing w:line="360" w:lineRule="auto"/>
              <w:ind w:left="0"/>
              <w:rPr>
                <w:rFonts w:ascii="Century Gothic" w:hAnsi="Century Gothic" w:cs="Times New Roman"/>
                <w:sz w:val="24"/>
              </w:rPr>
            </w:pPr>
          </w:p>
        </w:tc>
      </w:tr>
      <w:tr w:rsidR="005164A4" w:rsidRPr="003F38A3" w:rsidTr="000B2011">
        <w:tc>
          <w:tcPr>
            <w:tcW w:w="4488" w:type="dxa"/>
          </w:tcPr>
          <w:p w:rsidR="005164A4" w:rsidRPr="003F38A3" w:rsidRDefault="005164A4"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Gross-of-fee return (Gross IRR)</w:t>
            </w:r>
          </w:p>
          <w:p w:rsidR="005164A4" w:rsidRPr="003F38A3" w:rsidRDefault="005164A4"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Base management fee</w:t>
            </w:r>
          </w:p>
          <w:p w:rsidR="005164A4" w:rsidRPr="003F38A3" w:rsidRDefault="005164A4"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Total expense ratio</w:t>
            </w:r>
          </w:p>
          <w:p w:rsidR="005164A4" w:rsidRPr="003F38A3" w:rsidRDefault="005164A4"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Net-of-fee return (Net IRR)</w:t>
            </w:r>
          </w:p>
          <w:p w:rsidR="005164A4" w:rsidRPr="003F38A3" w:rsidRDefault="005164A4" w:rsidP="000B2011">
            <w:pPr>
              <w:pStyle w:val="ListParagraph"/>
              <w:spacing w:line="360" w:lineRule="auto"/>
              <w:ind w:left="0"/>
              <w:rPr>
                <w:rFonts w:ascii="Century Gothic" w:hAnsi="Century Gothic" w:cs="Times New Roman"/>
                <w:sz w:val="24"/>
              </w:rPr>
            </w:pPr>
            <w:r w:rsidRPr="003F38A3">
              <w:rPr>
                <w:rFonts w:ascii="Century Gothic" w:hAnsi="Century Gothic" w:cs="Times New Roman"/>
                <w:sz w:val="24"/>
              </w:rPr>
              <w:t>NOI Cap Rates</w:t>
            </w:r>
          </w:p>
        </w:tc>
        <w:tc>
          <w:tcPr>
            <w:tcW w:w="4368" w:type="dxa"/>
          </w:tcPr>
          <w:p w:rsidR="005164A4" w:rsidRPr="003F38A3" w:rsidRDefault="005164A4" w:rsidP="000B2011">
            <w:pPr>
              <w:pStyle w:val="ListParagraph"/>
              <w:spacing w:line="360" w:lineRule="auto"/>
              <w:ind w:left="0"/>
              <w:rPr>
                <w:rFonts w:ascii="Century Gothic" w:hAnsi="Century Gothic" w:cs="Times New Roman"/>
                <w:sz w:val="24"/>
              </w:rPr>
            </w:pPr>
          </w:p>
        </w:tc>
      </w:tr>
    </w:tbl>
    <w:p w:rsidR="00A83B9B" w:rsidRPr="003F38A3" w:rsidRDefault="00A83B9B" w:rsidP="00A83B9B">
      <w:pPr>
        <w:pStyle w:val="ListParagraph"/>
        <w:rPr>
          <w:rFonts w:ascii="Century Gothic" w:hAnsi="Century Gothic" w:cs="Times New Roman"/>
          <w:sz w:val="24"/>
          <w:szCs w:val="24"/>
        </w:rPr>
      </w:pPr>
    </w:p>
    <w:p w:rsidR="00F56A5E" w:rsidRDefault="00A83B9B" w:rsidP="00643770">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 xml:space="preserve">Provide the </w:t>
      </w:r>
      <w:r w:rsidR="00F56A5E">
        <w:rPr>
          <w:rFonts w:ascii="Century Gothic" w:hAnsi="Century Gothic" w:cs="Times New Roman"/>
          <w:sz w:val="24"/>
          <w:szCs w:val="24"/>
        </w:rPr>
        <w:t xml:space="preserve">following </w:t>
      </w:r>
      <w:r w:rsidRPr="003F38A3">
        <w:rPr>
          <w:rFonts w:ascii="Century Gothic" w:hAnsi="Century Gothic" w:cs="Times New Roman"/>
          <w:sz w:val="24"/>
          <w:szCs w:val="24"/>
        </w:rPr>
        <w:t xml:space="preserve">information </w:t>
      </w:r>
      <w:r w:rsidR="00B4763B">
        <w:rPr>
          <w:rFonts w:ascii="Century Gothic" w:hAnsi="Century Gothic" w:cs="Times New Roman"/>
          <w:sz w:val="24"/>
          <w:szCs w:val="24"/>
        </w:rPr>
        <w:t>of the property. If there are multiple properties, submit an Excel file including the information for each property.</w:t>
      </w:r>
    </w:p>
    <w:p w:rsidR="00F56A5E" w:rsidRDefault="00F56A5E"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N</w:t>
      </w:r>
      <w:r w:rsidR="00A83B9B" w:rsidRPr="003F38A3">
        <w:rPr>
          <w:rFonts w:ascii="Century Gothic" w:hAnsi="Century Gothic" w:cs="Times New Roman"/>
          <w:sz w:val="24"/>
          <w:szCs w:val="24"/>
        </w:rPr>
        <w:t>ame of property</w:t>
      </w:r>
    </w:p>
    <w:p w:rsidR="00B4763B" w:rsidRDefault="00F56A5E"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T</w:t>
      </w:r>
      <w:r w:rsidR="00A83B9B" w:rsidRPr="003F38A3">
        <w:rPr>
          <w:rFonts w:ascii="Century Gothic" w:hAnsi="Century Gothic" w:cs="Times New Roman"/>
          <w:sz w:val="24"/>
          <w:szCs w:val="24"/>
        </w:rPr>
        <w:t>ype of property</w:t>
      </w:r>
    </w:p>
    <w:p w:rsidR="00F56A5E" w:rsidRDefault="00B4763B" w:rsidP="005F3C42">
      <w:pPr>
        <w:pStyle w:val="ListParagraph"/>
        <w:widowControl w:val="0"/>
        <w:autoSpaceDE w:val="0"/>
        <w:autoSpaceDN w:val="0"/>
        <w:adjustRightInd w:val="0"/>
        <w:spacing w:after="381" w:line="360" w:lineRule="auto"/>
        <w:ind w:left="1440"/>
        <w:rPr>
          <w:rFonts w:ascii="Century Gothic" w:hAnsi="Century Gothic" w:cs="Times New Roman"/>
          <w:sz w:val="24"/>
          <w:szCs w:val="24"/>
        </w:rPr>
      </w:pPr>
      <w:r>
        <w:rPr>
          <w:rFonts w:ascii="Century Gothic" w:hAnsi="Century Gothic" w:cs="Times New Roman"/>
          <w:sz w:val="24"/>
          <w:szCs w:val="24"/>
        </w:rPr>
        <w:lastRenderedPageBreak/>
        <w:t>E</w:t>
      </w:r>
      <w:r w:rsidR="00A83B9B" w:rsidRPr="003F38A3">
        <w:rPr>
          <w:rFonts w:ascii="Century Gothic" w:hAnsi="Century Gothic" w:cs="Times New Roman"/>
          <w:sz w:val="24"/>
          <w:szCs w:val="24"/>
        </w:rPr>
        <w:t>.g. apartment complex, land, shopping center, warehouse,</w:t>
      </w:r>
      <w:r>
        <w:rPr>
          <w:rFonts w:ascii="Century Gothic" w:hAnsi="Century Gothic" w:cs="Times New Roman"/>
          <w:sz w:val="24"/>
          <w:szCs w:val="24"/>
        </w:rPr>
        <w:t xml:space="preserve"> </w:t>
      </w:r>
      <w:r w:rsidR="00A83B9B" w:rsidRPr="003F38A3">
        <w:rPr>
          <w:rFonts w:ascii="Century Gothic" w:hAnsi="Century Gothic" w:cs="Times New Roman"/>
          <w:sz w:val="24"/>
          <w:szCs w:val="24"/>
        </w:rPr>
        <w:t>commercial, hotels, industrial, land development, mixed use, multi-housing, office, real estate companies, residential, retails</w:t>
      </w:r>
      <w:r>
        <w:rPr>
          <w:rFonts w:ascii="Century Gothic" w:hAnsi="Century Gothic" w:cs="Times New Roman"/>
          <w:sz w:val="24"/>
          <w:szCs w:val="24"/>
        </w:rPr>
        <w:t>, etc.</w:t>
      </w:r>
    </w:p>
    <w:p w:rsidR="00F56A5E" w:rsidRDefault="00F56A5E"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 xml:space="preserve">Address </w:t>
      </w:r>
      <w:r w:rsidR="00A83B9B" w:rsidRPr="003F38A3">
        <w:rPr>
          <w:rFonts w:ascii="Century Gothic" w:hAnsi="Century Gothic" w:cs="Times New Roman"/>
          <w:sz w:val="24"/>
          <w:szCs w:val="24"/>
        </w:rPr>
        <w:t>of property (street, city, state</w:t>
      </w:r>
      <w:r w:rsidR="00B4763B">
        <w:rPr>
          <w:rFonts w:ascii="Century Gothic" w:hAnsi="Century Gothic" w:cs="Times New Roman"/>
          <w:sz w:val="24"/>
          <w:szCs w:val="24"/>
        </w:rPr>
        <w:t>,</w:t>
      </w:r>
      <w:r w:rsidR="00A83B9B" w:rsidRPr="003F38A3">
        <w:rPr>
          <w:rFonts w:ascii="Century Gothic" w:hAnsi="Century Gothic" w:cs="Times New Roman"/>
          <w:sz w:val="24"/>
          <w:szCs w:val="24"/>
        </w:rPr>
        <w:t xml:space="preserve"> and zip code)</w:t>
      </w:r>
    </w:p>
    <w:p w:rsidR="00B4763B" w:rsidRDefault="00B1593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 xml:space="preserve">The State, County, and Tract Census Codes </w:t>
      </w:r>
      <w:r w:rsidR="00B4763B">
        <w:rPr>
          <w:rFonts w:ascii="Century Gothic" w:hAnsi="Century Gothic" w:cs="Times New Roman"/>
          <w:sz w:val="24"/>
          <w:szCs w:val="24"/>
        </w:rPr>
        <w:t xml:space="preserve">of </w:t>
      </w:r>
      <w:r>
        <w:rPr>
          <w:rFonts w:ascii="Century Gothic" w:hAnsi="Century Gothic" w:cs="Times New Roman"/>
          <w:sz w:val="24"/>
          <w:szCs w:val="24"/>
        </w:rPr>
        <w:t xml:space="preserve">the </w:t>
      </w:r>
      <w:r w:rsidR="00B4763B">
        <w:rPr>
          <w:rFonts w:ascii="Century Gothic" w:hAnsi="Century Gothic" w:cs="Times New Roman"/>
          <w:sz w:val="24"/>
          <w:szCs w:val="24"/>
        </w:rPr>
        <w:t>property</w:t>
      </w:r>
    </w:p>
    <w:p w:rsidR="00B4763B" w:rsidRDefault="00F56A5E" w:rsidP="005F3C42">
      <w:pPr>
        <w:pStyle w:val="ListParagraph"/>
        <w:widowControl w:val="0"/>
        <w:autoSpaceDE w:val="0"/>
        <w:autoSpaceDN w:val="0"/>
        <w:adjustRightInd w:val="0"/>
        <w:spacing w:after="381" w:line="360" w:lineRule="auto"/>
        <w:ind w:left="1440"/>
        <w:rPr>
          <w:rFonts w:ascii="Century Gothic" w:hAnsi="Century Gothic" w:cs="Times New Roman"/>
          <w:sz w:val="24"/>
          <w:szCs w:val="24"/>
        </w:rPr>
      </w:pPr>
      <w:r>
        <w:rPr>
          <w:rFonts w:ascii="Century Gothic" w:hAnsi="Century Gothic" w:cs="Times New Roman"/>
          <w:sz w:val="24"/>
          <w:szCs w:val="24"/>
        </w:rPr>
        <w:t xml:space="preserve">This can be found </w:t>
      </w:r>
      <w:r w:rsidR="00A83B9B" w:rsidRPr="003F38A3">
        <w:rPr>
          <w:rFonts w:ascii="Century Gothic" w:hAnsi="Century Gothic" w:cs="Times New Roman"/>
          <w:sz w:val="24"/>
          <w:szCs w:val="24"/>
        </w:rPr>
        <w:t xml:space="preserve">using </w:t>
      </w:r>
      <w:r>
        <w:rPr>
          <w:rFonts w:ascii="Century Gothic" w:hAnsi="Century Gothic" w:cs="Times New Roman"/>
          <w:sz w:val="24"/>
          <w:szCs w:val="24"/>
        </w:rPr>
        <w:t xml:space="preserve">the </w:t>
      </w:r>
      <w:r w:rsidR="00A83B9B" w:rsidRPr="003F38A3">
        <w:rPr>
          <w:rFonts w:ascii="Century Gothic" w:hAnsi="Century Gothic" w:cs="Times New Roman"/>
          <w:sz w:val="24"/>
          <w:szCs w:val="24"/>
        </w:rPr>
        <w:t xml:space="preserve">FFIEC Geocoding </w:t>
      </w:r>
      <w:r w:rsidR="00B4763B">
        <w:rPr>
          <w:rFonts w:ascii="Century Gothic" w:hAnsi="Century Gothic" w:cs="Times New Roman"/>
          <w:sz w:val="24"/>
          <w:szCs w:val="24"/>
        </w:rPr>
        <w:t>S</w:t>
      </w:r>
      <w:r w:rsidR="00A83B9B" w:rsidRPr="003F38A3">
        <w:rPr>
          <w:rFonts w:ascii="Century Gothic" w:hAnsi="Century Gothic" w:cs="Times New Roman"/>
          <w:sz w:val="24"/>
          <w:szCs w:val="24"/>
        </w:rPr>
        <w:t>yste</w:t>
      </w:r>
      <w:r w:rsidR="00643770" w:rsidRPr="003F38A3">
        <w:rPr>
          <w:rFonts w:ascii="Century Gothic" w:hAnsi="Century Gothic" w:cs="Times New Roman"/>
          <w:sz w:val="24"/>
          <w:szCs w:val="24"/>
        </w:rPr>
        <w:t>m</w:t>
      </w:r>
      <w:r w:rsidR="00B4763B">
        <w:rPr>
          <w:rFonts w:ascii="Century Gothic" w:hAnsi="Century Gothic" w:cs="Times New Roman"/>
          <w:sz w:val="24"/>
          <w:szCs w:val="24"/>
        </w:rPr>
        <w:t xml:space="preserve"> website at </w:t>
      </w:r>
      <w:hyperlink r:id="rId9" w:history="1">
        <w:r w:rsidR="00643770" w:rsidRPr="003F38A3">
          <w:rPr>
            <w:rStyle w:val="Hyperlink"/>
            <w:rFonts w:ascii="Century Gothic" w:hAnsi="Century Gothic" w:cs="Times New Roman"/>
            <w:sz w:val="24"/>
            <w:szCs w:val="24"/>
          </w:rPr>
          <w:t>www.ffiec.gov/Geocode/default.aspx</w:t>
        </w:r>
      </w:hyperlink>
      <w:r w:rsidR="00B4763B">
        <w:rPr>
          <w:rFonts w:ascii="Century Gothic" w:hAnsi="Century Gothic" w:cs="Times New Roman"/>
          <w:sz w:val="24"/>
          <w:szCs w:val="24"/>
        </w:rPr>
        <w:t>.</w:t>
      </w:r>
      <w:r w:rsidR="00B15932">
        <w:rPr>
          <w:rFonts w:ascii="Century Gothic" w:hAnsi="Century Gothic" w:cs="Times New Roman"/>
          <w:sz w:val="24"/>
          <w:szCs w:val="24"/>
        </w:rPr>
        <w:t xml:space="preserve"> </w:t>
      </w:r>
      <w:r w:rsidR="00BF74C4">
        <w:rPr>
          <w:rFonts w:ascii="Century Gothic" w:hAnsi="Century Gothic" w:cs="Times New Roman"/>
          <w:sz w:val="24"/>
          <w:szCs w:val="24"/>
        </w:rPr>
        <w:t>Enter the address of the property; click “Search” and the following page will identify the State, County, and Tract Codes for the requested address.</w:t>
      </w:r>
    </w:p>
    <w:p w:rsidR="00B4763B" w:rsidRDefault="00B4763B"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 xml:space="preserve">Date </w:t>
      </w:r>
      <w:r w:rsidR="00A83B9B" w:rsidRPr="003F38A3">
        <w:rPr>
          <w:rFonts w:ascii="Century Gothic" w:hAnsi="Century Gothic" w:cs="Times New Roman"/>
          <w:sz w:val="24"/>
          <w:szCs w:val="24"/>
        </w:rPr>
        <w:t xml:space="preserve">of </w:t>
      </w:r>
      <w:r>
        <w:rPr>
          <w:rFonts w:ascii="Century Gothic" w:hAnsi="Century Gothic" w:cs="Times New Roman"/>
          <w:sz w:val="24"/>
          <w:szCs w:val="24"/>
        </w:rPr>
        <w:t xml:space="preserve">the </w:t>
      </w:r>
      <w:r w:rsidR="00A83B9B" w:rsidRPr="003F38A3">
        <w:rPr>
          <w:rFonts w:ascii="Century Gothic" w:hAnsi="Century Gothic" w:cs="Times New Roman"/>
          <w:sz w:val="24"/>
          <w:szCs w:val="24"/>
        </w:rPr>
        <w:t>appraisal</w:t>
      </w:r>
    </w:p>
    <w:p w:rsidR="00B4763B" w:rsidRDefault="00B4763B"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B</w:t>
      </w:r>
      <w:r w:rsidR="00A83B9B" w:rsidRPr="003F38A3">
        <w:rPr>
          <w:rFonts w:ascii="Century Gothic" w:hAnsi="Century Gothic" w:cs="Times New Roman"/>
          <w:sz w:val="24"/>
          <w:szCs w:val="24"/>
        </w:rPr>
        <w:t>ook and market value</w:t>
      </w:r>
    </w:p>
    <w:p w:rsidR="00B4763B" w:rsidRDefault="00B4763B"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A</w:t>
      </w:r>
      <w:r w:rsidR="00A83B9B" w:rsidRPr="003F38A3">
        <w:rPr>
          <w:rFonts w:ascii="Century Gothic" w:hAnsi="Century Gothic" w:cs="Times New Roman"/>
          <w:sz w:val="24"/>
          <w:szCs w:val="24"/>
        </w:rPr>
        <w:t>ctual cost</w:t>
      </w:r>
    </w:p>
    <w:p w:rsidR="00A83B9B" w:rsidRPr="003F38A3" w:rsidRDefault="00B4763B"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D</w:t>
      </w:r>
      <w:r w:rsidR="00A83B9B" w:rsidRPr="003F38A3">
        <w:rPr>
          <w:rFonts w:ascii="Century Gothic" w:hAnsi="Century Gothic" w:cs="Times New Roman"/>
          <w:sz w:val="24"/>
          <w:szCs w:val="24"/>
        </w:rPr>
        <w:t>ate of last appraisal</w:t>
      </w:r>
    </w:p>
    <w:p w:rsidR="005164A4" w:rsidRPr="003F38A3" w:rsidRDefault="00AB621E" w:rsidP="005164A4">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P</w:t>
      </w:r>
      <w:r w:rsidR="005164A4" w:rsidRPr="003F38A3">
        <w:rPr>
          <w:rFonts w:ascii="Century Gothic" w:hAnsi="Century Gothic" w:cs="Times New Roman"/>
          <w:sz w:val="24"/>
          <w:szCs w:val="24"/>
        </w:rPr>
        <w:t xml:space="preserve">rovide </w:t>
      </w:r>
      <w:r w:rsidRPr="003F38A3">
        <w:rPr>
          <w:rFonts w:ascii="Century Gothic" w:hAnsi="Century Gothic" w:cs="Times New Roman"/>
          <w:sz w:val="24"/>
          <w:szCs w:val="24"/>
        </w:rPr>
        <w:t>property manager and their</w:t>
      </w:r>
      <w:r w:rsidR="005164A4" w:rsidRPr="003F38A3">
        <w:rPr>
          <w:rFonts w:ascii="Century Gothic" w:hAnsi="Century Gothic" w:cs="Times New Roman"/>
          <w:sz w:val="24"/>
          <w:szCs w:val="24"/>
        </w:rPr>
        <w:t xml:space="preserve"> strategies for renting, managing, or improving the property. </w:t>
      </w:r>
    </w:p>
    <w:p w:rsidR="005164A4" w:rsidRPr="003F38A3" w:rsidRDefault="005164A4" w:rsidP="005164A4">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 xml:space="preserve">Please provide the real estate allocation strategy based on valuation, including strategy allocation and geographic allocation. </w:t>
      </w:r>
    </w:p>
    <w:p w:rsidR="005164A4" w:rsidRPr="003F38A3" w:rsidRDefault="00AB621E" w:rsidP="005164A4">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D</w:t>
      </w:r>
      <w:r w:rsidR="005164A4" w:rsidRPr="003F38A3">
        <w:rPr>
          <w:rFonts w:ascii="Century Gothic" w:hAnsi="Century Gothic" w:cs="Times New Roman"/>
          <w:sz w:val="24"/>
          <w:szCs w:val="24"/>
        </w:rPr>
        <w:t xml:space="preserve">escribe the specific risks associated with real estate investments, e.g. concentration risk, structure risk, liquidity risk, leverage risk, country risk, development risk, hazardous waste, operating risk, interest risk, market risk, etc. </w:t>
      </w:r>
    </w:p>
    <w:p w:rsidR="005164A4" w:rsidRPr="003F38A3" w:rsidRDefault="005164A4" w:rsidP="005164A4">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P</w:t>
      </w:r>
      <w:r w:rsidR="00AB621E" w:rsidRPr="003F38A3">
        <w:rPr>
          <w:rFonts w:ascii="Century Gothic" w:hAnsi="Century Gothic" w:cs="Times New Roman"/>
          <w:sz w:val="24"/>
          <w:szCs w:val="24"/>
        </w:rPr>
        <w:t>lease provide detailed investment</w:t>
      </w:r>
      <w:r w:rsidRPr="003F38A3">
        <w:rPr>
          <w:rFonts w:ascii="Century Gothic" w:hAnsi="Century Gothic" w:cs="Times New Roman"/>
          <w:sz w:val="24"/>
          <w:szCs w:val="24"/>
        </w:rPr>
        <w:t xml:space="preserve"> history and tax returns. </w:t>
      </w:r>
    </w:p>
    <w:p w:rsidR="005164A4" w:rsidRPr="003F38A3" w:rsidRDefault="005164A4" w:rsidP="005F3C42">
      <w:pPr>
        <w:rPr>
          <w:rFonts w:ascii="Century Gothic" w:hAnsi="Century Gothic" w:cs="Times New Roman"/>
          <w:b/>
          <w:sz w:val="24"/>
        </w:rPr>
      </w:pPr>
      <w:r w:rsidRPr="003F38A3">
        <w:rPr>
          <w:rFonts w:ascii="Century Gothic" w:hAnsi="Century Gothic" w:cs="Times New Roman"/>
          <w:b/>
          <w:sz w:val="24"/>
        </w:rPr>
        <w:t>Schedule B</w:t>
      </w:r>
      <w:r w:rsidR="00AB621E" w:rsidRPr="003F38A3">
        <w:rPr>
          <w:rFonts w:ascii="Century Gothic" w:hAnsi="Century Gothic" w:cs="Times New Roman"/>
          <w:b/>
          <w:sz w:val="24"/>
        </w:rPr>
        <w:t xml:space="preserve"> Investment Questions</w:t>
      </w:r>
    </w:p>
    <w:p w:rsidR="005164A4" w:rsidRPr="003F38A3" w:rsidRDefault="00AB621E" w:rsidP="005164A4">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P</w:t>
      </w:r>
      <w:r w:rsidR="005164A4" w:rsidRPr="003F38A3">
        <w:rPr>
          <w:rFonts w:ascii="Century Gothic" w:hAnsi="Century Gothic" w:cs="Times New Roman"/>
          <w:sz w:val="24"/>
        </w:rPr>
        <w:t xml:space="preserve">rovide </w:t>
      </w:r>
      <w:r w:rsidRPr="003F38A3">
        <w:rPr>
          <w:rFonts w:ascii="Century Gothic" w:hAnsi="Century Gothic" w:cs="Times New Roman"/>
          <w:sz w:val="24"/>
        </w:rPr>
        <w:t>the</w:t>
      </w:r>
      <w:r w:rsidR="005164A4" w:rsidRPr="003F38A3">
        <w:rPr>
          <w:rFonts w:ascii="Century Gothic" w:hAnsi="Century Gothic" w:cs="Times New Roman"/>
          <w:sz w:val="24"/>
        </w:rPr>
        <w:t xml:space="preserve"> following </w:t>
      </w:r>
      <w:r w:rsidRPr="003F38A3">
        <w:rPr>
          <w:rFonts w:ascii="Century Gothic" w:hAnsi="Century Gothic" w:cs="Times New Roman"/>
          <w:sz w:val="24"/>
        </w:rPr>
        <w:t>information</w:t>
      </w:r>
      <w:r w:rsidR="005164A4" w:rsidRPr="003F38A3">
        <w:rPr>
          <w:rFonts w:ascii="Century Gothic" w:hAnsi="Century Gothic" w:cs="Times New Roman"/>
          <w:sz w:val="24"/>
        </w:rPr>
        <w:t xml:space="preserve"> using concise description. If not applicable, write N/A.</w:t>
      </w:r>
    </w:p>
    <w:tbl>
      <w:tblPr>
        <w:tblW w:w="7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3146"/>
      </w:tblGrid>
      <w:tr w:rsidR="005164A4" w:rsidRPr="003F38A3" w:rsidTr="003F38A3">
        <w:trPr>
          <w:trHeight w:val="300"/>
          <w:jc w:val="center"/>
        </w:trPr>
        <w:tc>
          <w:tcPr>
            <w:tcW w:w="4586" w:type="dxa"/>
            <w:shd w:val="clear" w:color="auto" w:fill="auto"/>
            <w:noWrap/>
            <w:vAlign w:val="bottom"/>
            <w:hideMark/>
          </w:tcPr>
          <w:p w:rsidR="005164A4" w:rsidRPr="003F38A3" w:rsidRDefault="005164A4" w:rsidP="000B2011">
            <w:pPr>
              <w:spacing w:after="0" w:line="360" w:lineRule="auto"/>
              <w:rPr>
                <w:rFonts w:ascii="Century Gothic" w:eastAsia="Times New Roman" w:hAnsi="Century Gothic" w:cs="Times New Roman"/>
                <w:b/>
                <w:bCs/>
                <w:color w:val="000000"/>
                <w:sz w:val="24"/>
              </w:rPr>
            </w:pPr>
            <w:r w:rsidRPr="003F38A3">
              <w:rPr>
                <w:rFonts w:ascii="Century Gothic" w:eastAsia="Symbol" w:hAnsi="Century Gothic" w:cs="Times New Roman"/>
                <w:b/>
                <w:bCs/>
                <w:color w:val="000000"/>
                <w:sz w:val="24"/>
              </w:rPr>
              <w:t>Schedule B – Commercial Mortgage and Residential Mortgage</w:t>
            </w:r>
          </w:p>
        </w:tc>
        <w:tc>
          <w:tcPr>
            <w:tcW w:w="3146" w:type="dxa"/>
          </w:tcPr>
          <w:p w:rsidR="005164A4" w:rsidRPr="003F38A3" w:rsidRDefault="005164A4" w:rsidP="000B2011">
            <w:pPr>
              <w:spacing w:after="0" w:line="360" w:lineRule="auto"/>
              <w:rPr>
                <w:rFonts w:ascii="Century Gothic" w:eastAsia="Symbol" w:hAnsi="Century Gothic" w:cs="Times New Roman"/>
                <w:b/>
                <w:bCs/>
                <w:color w:val="000000"/>
                <w:sz w:val="24"/>
              </w:rPr>
            </w:pPr>
            <w:r w:rsidRPr="003F38A3">
              <w:rPr>
                <w:rFonts w:ascii="Century Gothic" w:eastAsia="Symbol" w:hAnsi="Century Gothic" w:cs="Times New Roman"/>
                <w:b/>
                <w:bCs/>
                <w:color w:val="000000"/>
                <w:sz w:val="24"/>
              </w:rPr>
              <w:t>Brief Description</w:t>
            </w:r>
          </w:p>
        </w:tc>
      </w:tr>
      <w:tr w:rsidR="005164A4" w:rsidRPr="003F38A3" w:rsidTr="003F38A3">
        <w:trPr>
          <w:trHeight w:val="300"/>
          <w:jc w:val="center"/>
        </w:trPr>
        <w:tc>
          <w:tcPr>
            <w:tcW w:w="4586" w:type="dxa"/>
            <w:shd w:val="clear" w:color="auto" w:fill="auto"/>
            <w:noWrap/>
            <w:vAlign w:val="bottom"/>
          </w:tcPr>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Loan number</w:t>
            </w:r>
          </w:p>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Loan amount</w:t>
            </w:r>
          </w:p>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Loan Term</w:t>
            </w:r>
          </w:p>
        </w:tc>
        <w:tc>
          <w:tcPr>
            <w:tcW w:w="3146" w:type="dxa"/>
          </w:tcPr>
          <w:p w:rsidR="005164A4" w:rsidRPr="003F38A3" w:rsidRDefault="005164A4" w:rsidP="000B2011">
            <w:pPr>
              <w:spacing w:after="0" w:line="360" w:lineRule="auto"/>
              <w:rPr>
                <w:rFonts w:ascii="Century Gothic" w:eastAsia="Times New Roman" w:hAnsi="Century Gothic" w:cs="Times New Roman"/>
                <w:color w:val="000000"/>
                <w:sz w:val="24"/>
              </w:rPr>
            </w:pPr>
          </w:p>
        </w:tc>
      </w:tr>
      <w:tr w:rsidR="005164A4" w:rsidRPr="003F38A3" w:rsidTr="003F38A3">
        <w:trPr>
          <w:trHeight w:val="300"/>
          <w:jc w:val="center"/>
        </w:trPr>
        <w:tc>
          <w:tcPr>
            <w:tcW w:w="4586" w:type="dxa"/>
            <w:shd w:val="clear" w:color="auto" w:fill="auto"/>
            <w:noWrap/>
            <w:vAlign w:val="bottom"/>
          </w:tcPr>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Loan structure</w:t>
            </w:r>
          </w:p>
        </w:tc>
        <w:tc>
          <w:tcPr>
            <w:tcW w:w="3146" w:type="dxa"/>
          </w:tcPr>
          <w:p w:rsidR="005164A4" w:rsidRPr="003F38A3" w:rsidRDefault="005164A4" w:rsidP="000B2011">
            <w:pPr>
              <w:spacing w:after="0" w:line="360" w:lineRule="auto"/>
              <w:rPr>
                <w:rFonts w:ascii="Century Gothic" w:eastAsia="Times New Roman" w:hAnsi="Century Gothic" w:cs="Times New Roman"/>
                <w:color w:val="000000"/>
                <w:sz w:val="24"/>
              </w:rPr>
            </w:pPr>
          </w:p>
        </w:tc>
      </w:tr>
      <w:tr w:rsidR="005164A4" w:rsidRPr="003F38A3" w:rsidTr="003F38A3">
        <w:trPr>
          <w:trHeight w:val="300"/>
          <w:jc w:val="center"/>
        </w:trPr>
        <w:tc>
          <w:tcPr>
            <w:tcW w:w="4586" w:type="dxa"/>
            <w:shd w:val="clear" w:color="auto" w:fill="auto"/>
            <w:noWrap/>
            <w:vAlign w:val="bottom"/>
          </w:tcPr>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lastRenderedPageBreak/>
              <w:t xml:space="preserve">Interest rate </w:t>
            </w:r>
          </w:p>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Earned income</w:t>
            </w:r>
          </w:p>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Associated expenses</w:t>
            </w:r>
          </w:p>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Combined Loan-to-Value Ratio</w:t>
            </w:r>
          </w:p>
          <w:p w:rsidR="005164A4" w:rsidRPr="003F38A3" w:rsidRDefault="005164A4" w:rsidP="000B2011">
            <w:pPr>
              <w:spacing w:after="0" w:line="360" w:lineRule="auto"/>
              <w:rPr>
                <w:rFonts w:ascii="Century Gothic" w:eastAsia="Times New Roman" w:hAnsi="Century Gothic" w:cs="Times New Roman"/>
                <w:color w:val="000000"/>
                <w:sz w:val="24"/>
              </w:rPr>
            </w:pPr>
            <w:r w:rsidRPr="003F38A3">
              <w:rPr>
                <w:rFonts w:ascii="Century Gothic" w:eastAsia="Times New Roman" w:hAnsi="Century Gothic" w:cs="Times New Roman"/>
                <w:color w:val="000000"/>
                <w:sz w:val="24"/>
              </w:rPr>
              <w:t>Debt-to-income ratio</w:t>
            </w:r>
          </w:p>
        </w:tc>
        <w:tc>
          <w:tcPr>
            <w:tcW w:w="3146" w:type="dxa"/>
          </w:tcPr>
          <w:p w:rsidR="005164A4" w:rsidRPr="003F38A3" w:rsidRDefault="005164A4" w:rsidP="000B2011">
            <w:pPr>
              <w:spacing w:after="0" w:line="360" w:lineRule="auto"/>
              <w:rPr>
                <w:rFonts w:ascii="Century Gothic" w:eastAsia="Times New Roman" w:hAnsi="Century Gothic" w:cs="Times New Roman"/>
                <w:color w:val="000000"/>
                <w:sz w:val="24"/>
              </w:rPr>
            </w:pPr>
          </w:p>
        </w:tc>
      </w:tr>
    </w:tbl>
    <w:p w:rsidR="00360300" w:rsidRPr="005F3C42" w:rsidRDefault="00360300" w:rsidP="005F3C42">
      <w:pPr>
        <w:pStyle w:val="ListParagraph"/>
        <w:widowControl w:val="0"/>
        <w:autoSpaceDE w:val="0"/>
        <w:autoSpaceDN w:val="0"/>
        <w:adjustRightInd w:val="0"/>
        <w:spacing w:after="381" w:line="360" w:lineRule="auto"/>
        <w:rPr>
          <w:rFonts w:ascii="Century Gothic" w:hAnsi="Century Gothic" w:cs="Times New Roman"/>
          <w:sz w:val="24"/>
          <w:szCs w:val="24"/>
        </w:rPr>
      </w:pPr>
    </w:p>
    <w:p w:rsidR="00360300" w:rsidRDefault="00A83B9B"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5F3C42">
        <w:rPr>
          <w:rFonts w:ascii="Century Gothic" w:hAnsi="Century Gothic" w:cs="Times New Roman"/>
          <w:sz w:val="24"/>
        </w:rPr>
        <w:t xml:space="preserve">Provide </w:t>
      </w:r>
      <w:r w:rsidR="00360300" w:rsidRPr="005F3C42">
        <w:rPr>
          <w:rFonts w:ascii="Century Gothic" w:hAnsi="Century Gothic" w:cs="Times New Roman"/>
          <w:sz w:val="24"/>
          <w:szCs w:val="24"/>
        </w:rPr>
        <w:t>the following information of the property. If there are multiple properties, submit an Excel file including the information for each property.</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L</w:t>
      </w:r>
      <w:r w:rsidR="00A83B9B" w:rsidRPr="005F3C42">
        <w:rPr>
          <w:rFonts w:ascii="Century Gothic" w:hAnsi="Century Gothic" w:cs="Times New Roman"/>
          <w:sz w:val="24"/>
        </w:rPr>
        <w:t>oan account number</w:t>
      </w:r>
      <w:r>
        <w:rPr>
          <w:rFonts w:ascii="Century Gothic" w:hAnsi="Century Gothic" w:cs="Times New Roman"/>
          <w:sz w:val="24"/>
        </w:rPr>
        <w:t xml:space="preserve"> and </w:t>
      </w:r>
      <w:r w:rsidR="00A83B9B" w:rsidRPr="005F3C42">
        <w:rPr>
          <w:rFonts w:ascii="Century Gothic" w:hAnsi="Century Gothic" w:cs="Times New Roman"/>
          <w:sz w:val="24"/>
        </w:rPr>
        <w:t>loan type (residential or commercial)</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D</w:t>
      </w:r>
      <w:r w:rsidR="00A83B9B" w:rsidRPr="005F3C42">
        <w:rPr>
          <w:rFonts w:ascii="Century Gothic" w:hAnsi="Century Gothic" w:cs="Times New Roman"/>
          <w:sz w:val="24"/>
        </w:rPr>
        <w:t>ate acquired</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I</w:t>
      </w:r>
      <w:r w:rsidR="00A83B9B" w:rsidRPr="005F3C42">
        <w:rPr>
          <w:rFonts w:ascii="Century Gothic" w:hAnsi="Century Gothic" w:cs="Times New Roman"/>
          <w:sz w:val="24"/>
        </w:rPr>
        <w:t>nterest rate</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L</w:t>
      </w:r>
      <w:r w:rsidR="00A83B9B" w:rsidRPr="005F3C42">
        <w:rPr>
          <w:rFonts w:ascii="Century Gothic" w:hAnsi="Century Gothic" w:cs="Times New Roman"/>
          <w:sz w:val="24"/>
        </w:rPr>
        <w:t>oan value</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L</w:t>
      </w:r>
      <w:r w:rsidR="00A83B9B" w:rsidRPr="005F3C42">
        <w:rPr>
          <w:rFonts w:ascii="Century Gothic" w:hAnsi="Century Gothic" w:cs="Times New Roman"/>
          <w:sz w:val="24"/>
        </w:rPr>
        <w:t>oan terms(maturity)</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D</w:t>
      </w:r>
      <w:r w:rsidR="00A83B9B" w:rsidRPr="005F3C42">
        <w:rPr>
          <w:rFonts w:ascii="Century Gothic" w:hAnsi="Century Gothic" w:cs="Times New Roman"/>
          <w:sz w:val="24"/>
        </w:rPr>
        <w:t>ate of appraisal</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V</w:t>
      </w:r>
      <w:r w:rsidR="00A83B9B" w:rsidRPr="005F3C42">
        <w:rPr>
          <w:rFonts w:ascii="Century Gothic" w:hAnsi="Century Gothic" w:cs="Times New Roman"/>
          <w:sz w:val="24"/>
        </w:rPr>
        <w:t>alue of underlying property</w:t>
      </w:r>
    </w:p>
    <w:p w:rsidR="00360300" w:rsidRPr="005F3C42" w:rsidRDefault="00360300"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 xml:space="preserve">Address of </w:t>
      </w:r>
      <w:r w:rsidR="00DC7480" w:rsidRPr="005F3C42">
        <w:rPr>
          <w:rFonts w:ascii="Century Gothic" w:hAnsi="Century Gothic" w:cs="Times New Roman"/>
          <w:sz w:val="24"/>
        </w:rPr>
        <w:t>property (street, city, state, and zip code)</w:t>
      </w:r>
    </w:p>
    <w:p w:rsidR="00DB6022" w:rsidRDefault="00DB6022" w:rsidP="00DB602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The State, County, and Tract Census Codes of the property</w:t>
      </w:r>
    </w:p>
    <w:p w:rsidR="00DB6022" w:rsidRDefault="00DB6022" w:rsidP="00DB6022">
      <w:pPr>
        <w:pStyle w:val="ListParagraph"/>
        <w:widowControl w:val="0"/>
        <w:autoSpaceDE w:val="0"/>
        <w:autoSpaceDN w:val="0"/>
        <w:adjustRightInd w:val="0"/>
        <w:spacing w:after="381" w:line="360" w:lineRule="auto"/>
        <w:ind w:left="1440"/>
        <w:rPr>
          <w:rFonts w:ascii="Century Gothic" w:hAnsi="Century Gothic" w:cs="Times New Roman"/>
          <w:sz w:val="24"/>
          <w:szCs w:val="24"/>
        </w:rPr>
      </w:pPr>
      <w:r>
        <w:rPr>
          <w:rFonts w:ascii="Century Gothic" w:hAnsi="Century Gothic" w:cs="Times New Roman"/>
          <w:sz w:val="24"/>
          <w:szCs w:val="24"/>
        </w:rPr>
        <w:t xml:space="preserve">This can be found </w:t>
      </w:r>
      <w:r w:rsidRPr="003F38A3">
        <w:rPr>
          <w:rFonts w:ascii="Century Gothic" w:hAnsi="Century Gothic" w:cs="Times New Roman"/>
          <w:sz w:val="24"/>
          <w:szCs w:val="24"/>
        </w:rPr>
        <w:t xml:space="preserve">using </w:t>
      </w:r>
      <w:r>
        <w:rPr>
          <w:rFonts w:ascii="Century Gothic" w:hAnsi="Century Gothic" w:cs="Times New Roman"/>
          <w:sz w:val="24"/>
          <w:szCs w:val="24"/>
        </w:rPr>
        <w:t xml:space="preserve">the </w:t>
      </w:r>
      <w:r w:rsidRPr="003F38A3">
        <w:rPr>
          <w:rFonts w:ascii="Century Gothic" w:hAnsi="Century Gothic" w:cs="Times New Roman"/>
          <w:sz w:val="24"/>
          <w:szCs w:val="24"/>
        </w:rPr>
        <w:t xml:space="preserve">FFIEC Geocoding </w:t>
      </w:r>
      <w:r>
        <w:rPr>
          <w:rFonts w:ascii="Century Gothic" w:hAnsi="Century Gothic" w:cs="Times New Roman"/>
          <w:sz w:val="24"/>
          <w:szCs w:val="24"/>
        </w:rPr>
        <w:t>S</w:t>
      </w:r>
      <w:r w:rsidRPr="003F38A3">
        <w:rPr>
          <w:rFonts w:ascii="Century Gothic" w:hAnsi="Century Gothic" w:cs="Times New Roman"/>
          <w:sz w:val="24"/>
          <w:szCs w:val="24"/>
        </w:rPr>
        <w:t>ystem</w:t>
      </w:r>
      <w:r>
        <w:rPr>
          <w:rFonts w:ascii="Century Gothic" w:hAnsi="Century Gothic" w:cs="Times New Roman"/>
          <w:sz w:val="24"/>
          <w:szCs w:val="24"/>
        </w:rPr>
        <w:t xml:space="preserve"> website at </w:t>
      </w:r>
      <w:hyperlink r:id="rId10" w:history="1">
        <w:r w:rsidRPr="003F38A3">
          <w:rPr>
            <w:rStyle w:val="Hyperlink"/>
            <w:rFonts w:ascii="Century Gothic" w:hAnsi="Century Gothic" w:cs="Times New Roman"/>
            <w:sz w:val="24"/>
            <w:szCs w:val="24"/>
          </w:rPr>
          <w:t>www.ffiec.gov/Geocode/default.aspx</w:t>
        </w:r>
      </w:hyperlink>
      <w:r>
        <w:rPr>
          <w:rFonts w:ascii="Century Gothic" w:hAnsi="Century Gothic" w:cs="Times New Roman"/>
          <w:sz w:val="24"/>
          <w:szCs w:val="24"/>
        </w:rPr>
        <w:t xml:space="preserve">. </w:t>
      </w:r>
      <w:r w:rsidR="00BF74C4">
        <w:rPr>
          <w:rFonts w:ascii="Century Gothic" w:hAnsi="Century Gothic" w:cs="Times New Roman"/>
          <w:sz w:val="24"/>
          <w:szCs w:val="24"/>
        </w:rPr>
        <w:t>Enter the address of the property; click “Search” and the following page will identify the State, County, and Tract Codes for the requested address.</w:t>
      </w:r>
    </w:p>
    <w:p w:rsidR="00070072" w:rsidRPr="005F3C4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N</w:t>
      </w:r>
      <w:r w:rsidR="00A83B9B" w:rsidRPr="005F3C42">
        <w:rPr>
          <w:rFonts w:ascii="Century Gothic" w:hAnsi="Century Gothic" w:cs="Times New Roman"/>
          <w:sz w:val="24"/>
        </w:rPr>
        <w:t>et operating income of the property (only for commercial mortgage)</w:t>
      </w:r>
    </w:p>
    <w:p w:rsidR="00070072" w:rsidRPr="005F3C4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A</w:t>
      </w:r>
      <w:r w:rsidR="00A83B9B" w:rsidRPr="005F3C42">
        <w:rPr>
          <w:rFonts w:ascii="Century Gothic" w:hAnsi="Century Gothic" w:cs="Times New Roman"/>
          <w:sz w:val="24"/>
        </w:rPr>
        <w:t>nnualized debt service (annual payment, only for commercial mortgage)</w:t>
      </w:r>
    </w:p>
    <w:p w:rsidR="00A83B9B" w:rsidRPr="005F3C4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rPr>
        <w:t>D</w:t>
      </w:r>
      <w:r w:rsidR="00A83B9B" w:rsidRPr="005F3C42">
        <w:rPr>
          <w:rFonts w:ascii="Century Gothic" w:hAnsi="Century Gothic" w:cs="Times New Roman"/>
          <w:sz w:val="24"/>
        </w:rPr>
        <w:t>ebt service coverage ratio</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Describe the type of mortgage</w:t>
      </w:r>
      <w:r w:rsidR="00AB621E" w:rsidRPr="003F38A3">
        <w:rPr>
          <w:rFonts w:ascii="Century Gothic" w:hAnsi="Century Gothic" w:cs="Times New Roman"/>
          <w:sz w:val="24"/>
        </w:rPr>
        <w:t>s</w:t>
      </w:r>
      <w:r w:rsidR="00070072">
        <w:rPr>
          <w:rFonts w:ascii="Century Gothic" w:hAnsi="Century Gothic" w:cs="Times New Roman"/>
          <w:sz w:val="24"/>
        </w:rPr>
        <w:t>. I</w:t>
      </w:r>
      <w:r w:rsidRPr="003F38A3">
        <w:rPr>
          <w:rFonts w:ascii="Century Gothic" w:hAnsi="Century Gothic" w:cs="Times New Roman"/>
          <w:sz w:val="24"/>
        </w:rPr>
        <w:t xml:space="preserve">f it is </w:t>
      </w:r>
      <w:r w:rsidR="00070072">
        <w:rPr>
          <w:rFonts w:ascii="Century Gothic" w:hAnsi="Century Gothic" w:cs="Times New Roman"/>
          <w:sz w:val="24"/>
        </w:rPr>
        <w:t xml:space="preserve">a </w:t>
      </w:r>
      <w:r w:rsidRPr="003F38A3">
        <w:rPr>
          <w:rFonts w:ascii="Century Gothic" w:hAnsi="Century Gothic" w:cs="Times New Roman"/>
          <w:sz w:val="24"/>
        </w:rPr>
        <w:t xml:space="preserve">hybrid of residential </w:t>
      </w:r>
      <w:r w:rsidR="00AB621E" w:rsidRPr="003F38A3">
        <w:rPr>
          <w:rFonts w:ascii="Century Gothic" w:hAnsi="Century Gothic" w:cs="Times New Roman"/>
          <w:sz w:val="24"/>
        </w:rPr>
        <w:t>and commercial mortgage</w:t>
      </w:r>
      <w:r w:rsidR="00070072">
        <w:rPr>
          <w:rFonts w:ascii="Century Gothic" w:hAnsi="Century Gothic" w:cs="Times New Roman"/>
          <w:sz w:val="24"/>
        </w:rPr>
        <w:t xml:space="preserve">, </w:t>
      </w:r>
      <w:r w:rsidR="00AB621E" w:rsidRPr="003F38A3">
        <w:rPr>
          <w:rFonts w:ascii="Century Gothic" w:hAnsi="Century Gothic" w:cs="Times New Roman"/>
          <w:sz w:val="24"/>
        </w:rPr>
        <w:t>show the percentage in</w:t>
      </w:r>
      <w:r w:rsidRPr="003F38A3">
        <w:rPr>
          <w:rFonts w:ascii="Century Gothic" w:hAnsi="Century Gothic" w:cs="Times New Roman"/>
          <w:sz w:val="24"/>
        </w:rPr>
        <w:t xml:space="preserve"> each sector. </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 xml:space="preserve">Provide the geographic distribution of underlying properties among rural and urban </w:t>
      </w:r>
      <w:r w:rsidR="00AB621E" w:rsidRPr="003F38A3">
        <w:rPr>
          <w:rFonts w:ascii="Century Gothic" w:hAnsi="Century Gothic" w:cs="Times New Roman"/>
          <w:sz w:val="24"/>
        </w:rPr>
        <w:t>areas</w:t>
      </w:r>
      <w:r w:rsidRPr="003F38A3">
        <w:rPr>
          <w:rFonts w:ascii="Century Gothic" w:hAnsi="Century Gothic" w:cs="Times New Roman"/>
          <w:sz w:val="24"/>
        </w:rPr>
        <w:t>.</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 xml:space="preserve">Provide </w:t>
      </w:r>
      <w:r w:rsidR="00AB621E" w:rsidRPr="003F38A3">
        <w:rPr>
          <w:rFonts w:ascii="Century Gothic" w:hAnsi="Century Gothic" w:cs="Times New Roman"/>
          <w:sz w:val="24"/>
        </w:rPr>
        <w:t>a</w:t>
      </w:r>
      <w:r w:rsidRPr="003F38A3">
        <w:rPr>
          <w:rFonts w:ascii="Century Gothic" w:hAnsi="Century Gothic" w:cs="Times New Roman"/>
          <w:sz w:val="24"/>
        </w:rPr>
        <w:t xml:space="preserve"> description of specific risks associated to commercial mortgages and residential mortgages, </w:t>
      </w:r>
      <w:r w:rsidRPr="003F38A3">
        <w:rPr>
          <w:rFonts w:ascii="Century Gothic" w:hAnsi="Century Gothic" w:cs="Times New Roman"/>
          <w:sz w:val="24"/>
        </w:rPr>
        <w:lastRenderedPageBreak/>
        <w:t>e.g. risks of delinquency and foreclosure, risks of loss</w:t>
      </w:r>
      <w:r w:rsidR="00070072">
        <w:rPr>
          <w:rFonts w:ascii="Century Gothic" w:hAnsi="Century Gothic" w:cs="Times New Roman"/>
          <w:sz w:val="24"/>
        </w:rPr>
        <w:t>, etc.</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In a three-year trend what is the total</w:t>
      </w:r>
      <w:r w:rsidR="00AB621E" w:rsidRPr="003F38A3">
        <w:rPr>
          <w:rFonts w:ascii="Century Gothic" w:hAnsi="Century Gothic" w:cs="Times New Roman"/>
          <w:sz w:val="24"/>
        </w:rPr>
        <w:t xml:space="preserve"> number</w:t>
      </w:r>
      <w:r w:rsidRPr="003F38A3">
        <w:rPr>
          <w:rFonts w:ascii="Century Gothic" w:hAnsi="Century Gothic" w:cs="Times New Roman"/>
          <w:sz w:val="24"/>
        </w:rPr>
        <w:t xml:space="preserve"> and </w:t>
      </w:r>
      <w:r w:rsidR="00AB621E" w:rsidRPr="003F38A3">
        <w:rPr>
          <w:rFonts w:ascii="Century Gothic" w:hAnsi="Century Gothic" w:cs="Times New Roman"/>
          <w:sz w:val="24"/>
        </w:rPr>
        <w:t>percent</w:t>
      </w:r>
      <w:r w:rsidRPr="003F38A3">
        <w:rPr>
          <w:rFonts w:ascii="Century Gothic" w:hAnsi="Century Gothic" w:cs="Times New Roman"/>
          <w:sz w:val="24"/>
        </w:rPr>
        <w:t xml:space="preserve"> of loans going to underserved individuals and underserved communities?</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Is there any residential capital for low-income, underserved and disadvantaged communities to access affordable housing and home preservation? If applicable, please describe it.</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 xml:space="preserve">For </w:t>
      </w:r>
      <w:r w:rsidR="00AB621E" w:rsidRPr="003F38A3">
        <w:rPr>
          <w:rFonts w:ascii="Century Gothic" w:hAnsi="Century Gothic" w:cs="Times New Roman"/>
          <w:sz w:val="24"/>
        </w:rPr>
        <w:t>each</w:t>
      </w:r>
      <w:r w:rsidRPr="003F38A3">
        <w:rPr>
          <w:rFonts w:ascii="Century Gothic" w:hAnsi="Century Gothic" w:cs="Times New Roman"/>
          <w:sz w:val="24"/>
        </w:rPr>
        <w:t xml:space="preserve"> residential mortgage, please provide </w:t>
      </w:r>
      <w:r w:rsidR="00AB621E" w:rsidRPr="003F38A3">
        <w:rPr>
          <w:rFonts w:ascii="Century Gothic" w:hAnsi="Century Gothic" w:cs="Times New Roman"/>
          <w:sz w:val="24"/>
        </w:rPr>
        <w:t>borrowers income and LMI designation.</w:t>
      </w:r>
      <w:r w:rsidRPr="003F38A3">
        <w:rPr>
          <w:rFonts w:ascii="Century Gothic" w:hAnsi="Century Gothic" w:cs="Times New Roman"/>
          <w:sz w:val="24"/>
        </w:rPr>
        <w:t xml:space="preserve"> </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Does your staff have the capacity to originate and underwrite loans?</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Does your board member have the capacity to make loan action decisions?</w:t>
      </w:r>
    </w:p>
    <w:p w:rsidR="005164A4"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Does your organization have the required and necessary state lender and broker licenses to conduct a residential lending line of business?</w:t>
      </w:r>
    </w:p>
    <w:p w:rsidR="003E758E" w:rsidRPr="003F38A3" w:rsidRDefault="003E758E" w:rsidP="003E758E">
      <w:pPr>
        <w:pStyle w:val="ListParagraph"/>
        <w:widowControl w:val="0"/>
        <w:autoSpaceDE w:val="0"/>
        <w:autoSpaceDN w:val="0"/>
        <w:adjustRightInd w:val="0"/>
        <w:spacing w:after="381" w:line="360" w:lineRule="auto"/>
        <w:rPr>
          <w:rFonts w:ascii="Century Gothic" w:hAnsi="Century Gothic" w:cs="Times New Roman"/>
          <w:sz w:val="24"/>
        </w:rPr>
      </w:pPr>
    </w:p>
    <w:p w:rsidR="005164A4" w:rsidRPr="003F38A3" w:rsidRDefault="005164A4" w:rsidP="005F3C42">
      <w:pPr>
        <w:rPr>
          <w:rFonts w:ascii="Century Gothic" w:hAnsi="Century Gothic" w:cs="Times New Roman"/>
          <w:b/>
          <w:sz w:val="24"/>
        </w:rPr>
      </w:pPr>
      <w:r w:rsidRPr="003F38A3">
        <w:rPr>
          <w:rFonts w:ascii="Century Gothic" w:hAnsi="Century Gothic" w:cs="Times New Roman"/>
          <w:b/>
          <w:sz w:val="24"/>
        </w:rPr>
        <w:t>Schedule BA</w:t>
      </w:r>
      <w:r w:rsidR="00AB621E" w:rsidRPr="003F38A3">
        <w:rPr>
          <w:rFonts w:ascii="Century Gothic" w:hAnsi="Century Gothic" w:cs="Times New Roman"/>
          <w:b/>
          <w:sz w:val="24"/>
        </w:rPr>
        <w:t xml:space="preserve"> Investment Questions</w:t>
      </w:r>
    </w:p>
    <w:p w:rsidR="005164A4" w:rsidRPr="003F38A3" w:rsidRDefault="00A83B9B"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Provide</w:t>
      </w:r>
      <w:r w:rsidR="005164A4" w:rsidRPr="003F38A3">
        <w:rPr>
          <w:rFonts w:ascii="Century Gothic" w:hAnsi="Century Gothic" w:cs="Times New Roman"/>
          <w:sz w:val="24"/>
          <w:szCs w:val="24"/>
        </w:rPr>
        <w:t xml:space="preserve"> the business structure</w:t>
      </w:r>
      <w:r w:rsidRPr="003F38A3">
        <w:rPr>
          <w:rFonts w:ascii="Century Gothic" w:hAnsi="Century Gothic" w:cs="Times New Roman"/>
          <w:sz w:val="24"/>
          <w:szCs w:val="24"/>
        </w:rPr>
        <w:t xml:space="preserve"> (Tier 1)</w:t>
      </w:r>
      <w:r w:rsidR="005164A4" w:rsidRPr="003F38A3">
        <w:rPr>
          <w:rFonts w:ascii="Century Gothic" w:hAnsi="Century Gothic" w:cs="Times New Roman"/>
          <w:sz w:val="24"/>
          <w:szCs w:val="24"/>
        </w:rPr>
        <w:t xml:space="preserve"> and type of fund</w:t>
      </w:r>
      <w:r w:rsidRPr="003F38A3">
        <w:rPr>
          <w:rFonts w:ascii="Century Gothic" w:hAnsi="Century Gothic" w:cs="Times New Roman"/>
          <w:sz w:val="24"/>
          <w:szCs w:val="24"/>
        </w:rPr>
        <w:t xml:space="preserve"> (Tier 2 and Tier 3)</w:t>
      </w:r>
      <w:r w:rsidR="005164A4" w:rsidRPr="003F38A3">
        <w:rPr>
          <w:rFonts w:ascii="Century Gothic" w:hAnsi="Century Gothic" w:cs="Times New Roman"/>
          <w:sz w:val="24"/>
          <w:szCs w:val="24"/>
        </w:rPr>
        <w:t xml:space="preserve"> according to </w:t>
      </w:r>
      <w:r w:rsidR="00070072">
        <w:rPr>
          <w:rFonts w:ascii="Century Gothic" w:hAnsi="Century Gothic" w:cs="Times New Roman"/>
          <w:sz w:val="24"/>
          <w:szCs w:val="24"/>
        </w:rPr>
        <w:t>the</w:t>
      </w:r>
      <w:r w:rsidR="00070072" w:rsidRPr="003F38A3">
        <w:rPr>
          <w:rFonts w:ascii="Century Gothic" w:hAnsi="Century Gothic" w:cs="Times New Roman"/>
          <w:sz w:val="24"/>
          <w:szCs w:val="24"/>
        </w:rPr>
        <w:t xml:space="preserve"> </w:t>
      </w:r>
      <w:r w:rsidR="005164A4" w:rsidRPr="003F38A3">
        <w:rPr>
          <w:rFonts w:ascii="Century Gothic" w:hAnsi="Century Gothic" w:cs="Times New Roman"/>
          <w:sz w:val="24"/>
          <w:szCs w:val="24"/>
        </w:rPr>
        <w:t>NAIC investment schedules as shown in the Appendix I</w:t>
      </w:r>
      <w:r w:rsidR="00ED5FEC">
        <w:rPr>
          <w:rFonts w:ascii="Century Gothic" w:hAnsi="Century Gothic" w:cs="Times New Roman"/>
          <w:sz w:val="24"/>
          <w:szCs w:val="24"/>
        </w:rPr>
        <w:t>I</w:t>
      </w:r>
      <w:r w:rsidR="005164A4" w:rsidRPr="003F38A3">
        <w:rPr>
          <w:rFonts w:ascii="Century Gothic" w:hAnsi="Century Gothic" w:cs="Times New Roman"/>
          <w:sz w:val="24"/>
          <w:szCs w:val="24"/>
        </w:rPr>
        <w:t>.</w:t>
      </w:r>
    </w:p>
    <w:p w:rsidR="00A83B9B" w:rsidRPr="003F38A3" w:rsidRDefault="00A83B9B" w:rsidP="005F3C42">
      <w:pPr>
        <w:pStyle w:val="ListParagraph"/>
        <w:numPr>
          <w:ilvl w:val="0"/>
          <w:numId w:val="15"/>
        </w:numPr>
        <w:rPr>
          <w:rFonts w:ascii="Century Gothic" w:hAnsi="Century Gothic" w:cs="Times New Roman"/>
          <w:sz w:val="24"/>
          <w:szCs w:val="24"/>
        </w:rPr>
      </w:pPr>
      <w:r w:rsidRPr="003F38A3">
        <w:rPr>
          <w:rFonts w:ascii="Century Gothic" w:hAnsi="Century Gothic" w:cs="Times New Roman"/>
          <w:sz w:val="24"/>
          <w:szCs w:val="24"/>
        </w:rPr>
        <w:t xml:space="preserve">Provide the following information for fund investment in Schedule </w:t>
      </w:r>
      <w:r w:rsidR="0025792C" w:rsidRPr="003F38A3">
        <w:rPr>
          <w:rFonts w:ascii="Century Gothic" w:hAnsi="Century Gothic" w:cs="Times New Roman"/>
          <w:sz w:val="24"/>
          <w:szCs w:val="24"/>
        </w:rPr>
        <w:t>B</w:t>
      </w:r>
      <w:r w:rsidRPr="003F38A3">
        <w:rPr>
          <w:rFonts w:ascii="Century Gothic" w:hAnsi="Century Gothic" w:cs="Times New Roman"/>
          <w:sz w:val="24"/>
          <w:szCs w:val="24"/>
        </w:rPr>
        <w:t>A using concise description</w:t>
      </w:r>
      <w:r w:rsidR="0025792C" w:rsidRPr="003F38A3">
        <w:rPr>
          <w:rFonts w:ascii="Century Gothic" w:hAnsi="Century Gothic" w:cs="Times New Roman"/>
          <w:sz w:val="24"/>
          <w:szCs w:val="24"/>
        </w:rPr>
        <w:t>s</w:t>
      </w:r>
      <w:r w:rsidRPr="003F38A3">
        <w:rPr>
          <w:rFonts w:ascii="Century Gothic" w:hAnsi="Century Gothic" w:cs="Times New Roman"/>
          <w:sz w:val="24"/>
          <w:szCs w:val="24"/>
        </w:rPr>
        <w:t>.</w:t>
      </w:r>
    </w:p>
    <w:tbl>
      <w:tblPr>
        <w:tblW w:w="9483" w:type="dxa"/>
        <w:jc w:val="center"/>
        <w:tblLook w:val="04A0" w:firstRow="1" w:lastRow="0" w:firstColumn="1" w:lastColumn="0" w:noHBand="0" w:noVBand="1"/>
      </w:tblPr>
      <w:tblGrid>
        <w:gridCol w:w="5732"/>
        <w:gridCol w:w="3751"/>
      </w:tblGrid>
      <w:tr w:rsidR="005164A4" w:rsidRPr="003F38A3" w:rsidTr="000B2011">
        <w:trPr>
          <w:trHeight w:val="300"/>
          <w:jc w:val="center"/>
        </w:trPr>
        <w:tc>
          <w:tcPr>
            <w:tcW w:w="5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b/>
                <w:bCs/>
                <w:color w:val="000000"/>
                <w:sz w:val="24"/>
                <w:szCs w:val="24"/>
              </w:rPr>
            </w:pPr>
            <w:r w:rsidRPr="003F38A3">
              <w:rPr>
                <w:rFonts w:ascii="Century Gothic" w:eastAsia="Symbol" w:hAnsi="Century Gothic" w:cs="Times New Roman"/>
                <w:b/>
                <w:bCs/>
                <w:color w:val="000000"/>
                <w:sz w:val="24"/>
                <w:szCs w:val="24"/>
              </w:rPr>
              <w:t>Schedule BA -Private Equity Fund-Term</w:t>
            </w:r>
          </w:p>
        </w:tc>
        <w:tc>
          <w:tcPr>
            <w:tcW w:w="3751" w:type="dxa"/>
            <w:tcBorders>
              <w:top w:val="single" w:sz="4" w:space="0" w:color="auto"/>
              <w:left w:val="single" w:sz="4" w:space="0" w:color="auto"/>
              <w:bottom w:val="single" w:sz="4" w:space="0" w:color="auto"/>
              <w:right w:val="single" w:sz="4" w:space="0" w:color="auto"/>
            </w:tcBorders>
          </w:tcPr>
          <w:p w:rsidR="005164A4" w:rsidRPr="003F38A3" w:rsidRDefault="005164A4" w:rsidP="000B2011">
            <w:pPr>
              <w:spacing w:after="0" w:line="240" w:lineRule="auto"/>
              <w:rPr>
                <w:rFonts w:ascii="Century Gothic" w:eastAsia="Symbol" w:hAnsi="Century Gothic" w:cs="Times New Roman"/>
                <w:b/>
                <w:bCs/>
                <w:color w:val="000000"/>
                <w:sz w:val="24"/>
                <w:szCs w:val="24"/>
              </w:rPr>
            </w:pPr>
            <w:r w:rsidRPr="003F38A3">
              <w:rPr>
                <w:rFonts w:ascii="Century Gothic" w:eastAsia="Symbol" w:hAnsi="Century Gothic" w:cs="Times New Roman"/>
                <w:b/>
                <w:bCs/>
                <w:color w:val="000000"/>
                <w:sz w:val="24"/>
                <w:szCs w:val="24"/>
              </w:rPr>
              <w:t>Brief Description</w:t>
            </w: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Firm Name with legal structure</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Fund Name</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Offering Size</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Vintage Year</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Timing of the First Closings</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Final close size</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Fund Term</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Lock-up period</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LP Commitment</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Minimum LP Commitments</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General Partner</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Investment Manager</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GP Capital Commitment</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Management Fee</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Monitoring fees</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 xml:space="preserve">Transaction Fee Offset </w:t>
            </w:r>
          </w:p>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lastRenderedPageBreak/>
              <w:t>Performance fee (hedge fund)</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 xml:space="preserve">GP Carried Interest </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Hurdle Rates (Preferred Return)</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Waterfall</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nil"/>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 xml:space="preserve">No-fault provisions </w:t>
            </w:r>
          </w:p>
        </w:tc>
        <w:tc>
          <w:tcPr>
            <w:tcW w:w="3751" w:type="dxa"/>
            <w:tcBorders>
              <w:top w:val="nil"/>
              <w:left w:val="single" w:sz="4" w:space="0" w:color="auto"/>
              <w:bottom w:val="nil"/>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r w:rsidR="005164A4" w:rsidRPr="003F38A3" w:rsidTr="000B2011">
        <w:trPr>
          <w:trHeight w:val="300"/>
          <w:jc w:val="center"/>
        </w:trPr>
        <w:tc>
          <w:tcPr>
            <w:tcW w:w="5732" w:type="dxa"/>
            <w:tcBorders>
              <w:top w:val="nil"/>
              <w:left w:val="single" w:sz="4" w:space="0" w:color="auto"/>
              <w:bottom w:val="single" w:sz="4" w:space="0" w:color="auto"/>
              <w:right w:val="single" w:sz="4" w:space="0" w:color="auto"/>
            </w:tcBorders>
            <w:shd w:val="clear" w:color="auto" w:fill="auto"/>
            <w:noWrap/>
            <w:vAlign w:val="bottom"/>
            <w:hideMark/>
          </w:tcPr>
          <w:p w:rsidR="005164A4" w:rsidRPr="003F38A3" w:rsidRDefault="005164A4" w:rsidP="000B2011">
            <w:pPr>
              <w:spacing w:after="0" w:line="240" w:lineRule="auto"/>
              <w:rPr>
                <w:rFonts w:ascii="Century Gothic" w:eastAsia="Times New Roman" w:hAnsi="Century Gothic" w:cs="Times New Roman"/>
                <w:color w:val="000000"/>
                <w:sz w:val="24"/>
                <w:szCs w:val="24"/>
              </w:rPr>
            </w:pPr>
            <w:r w:rsidRPr="003F38A3">
              <w:rPr>
                <w:rFonts w:ascii="Century Gothic" w:eastAsia="Times New Roman" w:hAnsi="Century Gothic" w:cs="Times New Roman"/>
                <w:color w:val="000000"/>
                <w:sz w:val="24"/>
                <w:szCs w:val="24"/>
              </w:rPr>
              <w:t>Key Man Provisions</w:t>
            </w:r>
          </w:p>
        </w:tc>
        <w:tc>
          <w:tcPr>
            <w:tcW w:w="3751" w:type="dxa"/>
            <w:tcBorders>
              <w:top w:val="nil"/>
              <w:left w:val="single" w:sz="4" w:space="0" w:color="auto"/>
              <w:bottom w:val="single" w:sz="4" w:space="0" w:color="auto"/>
              <w:right w:val="single" w:sz="4" w:space="0" w:color="auto"/>
            </w:tcBorders>
          </w:tcPr>
          <w:p w:rsidR="005164A4" w:rsidRPr="003F38A3" w:rsidRDefault="005164A4" w:rsidP="000B2011">
            <w:pPr>
              <w:spacing w:after="0" w:line="240" w:lineRule="auto"/>
              <w:rPr>
                <w:rFonts w:ascii="Century Gothic" w:eastAsia="Times New Roman" w:hAnsi="Century Gothic" w:cs="Times New Roman"/>
                <w:color w:val="000000"/>
                <w:sz w:val="24"/>
                <w:szCs w:val="24"/>
              </w:rPr>
            </w:pPr>
          </w:p>
        </w:tc>
      </w:tr>
    </w:tbl>
    <w:p w:rsidR="00BF74C4" w:rsidRPr="003F38A3" w:rsidRDefault="00BF74C4" w:rsidP="005164A4">
      <w:pPr>
        <w:pStyle w:val="ListParagraph"/>
        <w:rPr>
          <w:rFonts w:ascii="Century Gothic" w:hAnsi="Century Gothic" w:cs="Times New Roman"/>
          <w:sz w:val="24"/>
          <w:szCs w:val="24"/>
        </w:rPr>
      </w:pPr>
    </w:p>
    <w:p w:rsidR="00070072" w:rsidRDefault="00070072"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For all compan</w:t>
      </w:r>
      <w:r w:rsidR="007B1D9E">
        <w:rPr>
          <w:rFonts w:ascii="Century Gothic" w:hAnsi="Century Gothic" w:cs="Times New Roman"/>
          <w:sz w:val="24"/>
        </w:rPr>
        <w:t xml:space="preserve">ies (in both </w:t>
      </w:r>
      <w:r>
        <w:rPr>
          <w:rFonts w:ascii="Century Gothic" w:hAnsi="Century Gothic" w:cs="Times New Roman"/>
          <w:sz w:val="24"/>
        </w:rPr>
        <w:t>current and past funds</w:t>
      </w:r>
      <w:r w:rsidR="007B1D9E">
        <w:rPr>
          <w:rFonts w:ascii="Century Gothic" w:hAnsi="Century Gothic" w:cs="Times New Roman"/>
          <w:sz w:val="24"/>
        </w:rPr>
        <w:t>)</w:t>
      </w:r>
      <w:r>
        <w:rPr>
          <w:rFonts w:ascii="Century Gothic" w:hAnsi="Century Gothic" w:cs="Times New Roman"/>
          <w:sz w:val="24"/>
        </w:rPr>
        <w:t xml:space="preserve"> p</w:t>
      </w:r>
      <w:r w:rsidRPr="003F38A3">
        <w:rPr>
          <w:rFonts w:ascii="Century Gothic" w:hAnsi="Century Gothic" w:cs="Times New Roman"/>
          <w:sz w:val="24"/>
        </w:rPr>
        <w:t xml:space="preserve">rovide </w:t>
      </w:r>
      <w:r w:rsidR="00C52EBF">
        <w:rPr>
          <w:rFonts w:ascii="Century Gothic" w:hAnsi="Century Gothic" w:cs="Times New Roman"/>
          <w:sz w:val="24"/>
        </w:rPr>
        <w:t xml:space="preserve">the following information. </w:t>
      </w:r>
      <w:r w:rsidR="00C52EBF" w:rsidRPr="007025B3">
        <w:rPr>
          <w:rFonts w:ascii="Century Gothic" w:hAnsi="Century Gothic" w:cs="Times New Roman"/>
          <w:sz w:val="24"/>
          <w:szCs w:val="24"/>
        </w:rPr>
        <w:t xml:space="preserve">If there are multiple </w:t>
      </w:r>
      <w:r w:rsidR="00C52EBF">
        <w:rPr>
          <w:rFonts w:ascii="Century Gothic" w:hAnsi="Century Gothic" w:cs="Times New Roman"/>
          <w:sz w:val="24"/>
          <w:szCs w:val="24"/>
        </w:rPr>
        <w:t>companies</w:t>
      </w:r>
      <w:r w:rsidR="00C52EBF" w:rsidRPr="007025B3">
        <w:rPr>
          <w:rFonts w:ascii="Century Gothic" w:hAnsi="Century Gothic" w:cs="Times New Roman"/>
          <w:sz w:val="24"/>
          <w:szCs w:val="24"/>
        </w:rPr>
        <w:t xml:space="preserve">, submit an Excel file including the information for each </w:t>
      </w:r>
      <w:r w:rsidR="00C52EBF">
        <w:rPr>
          <w:rFonts w:ascii="Century Gothic" w:hAnsi="Century Gothic" w:cs="Times New Roman"/>
          <w:sz w:val="24"/>
          <w:szCs w:val="24"/>
        </w:rPr>
        <w:t>company</w:t>
      </w:r>
      <w:r w:rsidR="00C52EBF" w:rsidRPr="007025B3">
        <w:rPr>
          <w:rFonts w:ascii="Century Gothic" w:hAnsi="Century Gothic" w:cs="Times New Roman"/>
          <w:sz w:val="24"/>
          <w:szCs w:val="24"/>
        </w:rPr>
        <w:t>.</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C</w:t>
      </w:r>
      <w:r w:rsidRPr="003F38A3">
        <w:rPr>
          <w:rFonts w:ascii="Century Gothic" w:hAnsi="Century Gothic" w:cs="Times New Roman"/>
          <w:sz w:val="24"/>
        </w:rPr>
        <w:t xml:space="preserve">ompany </w:t>
      </w:r>
      <w:r w:rsidR="00DC7480" w:rsidRPr="003F38A3">
        <w:rPr>
          <w:rFonts w:ascii="Century Gothic" w:hAnsi="Century Gothic" w:cs="Times New Roman"/>
          <w:sz w:val="24"/>
        </w:rPr>
        <w:t>name</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 xml:space="preserve">Address of company headquarters </w:t>
      </w:r>
      <w:r w:rsidR="00DC7480" w:rsidRPr="003F38A3">
        <w:rPr>
          <w:rFonts w:ascii="Century Gothic" w:hAnsi="Century Gothic" w:cs="Times New Roman"/>
          <w:sz w:val="24"/>
        </w:rPr>
        <w:t>(street, city, state, and zip code)</w:t>
      </w:r>
    </w:p>
    <w:p w:rsidR="00DB6022" w:rsidRDefault="00DB6022" w:rsidP="00DB602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szCs w:val="24"/>
        </w:rPr>
      </w:pPr>
      <w:r>
        <w:rPr>
          <w:rFonts w:ascii="Century Gothic" w:hAnsi="Century Gothic" w:cs="Times New Roman"/>
          <w:sz w:val="24"/>
          <w:szCs w:val="24"/>
        </w:rPr>
        <w:t>The State, County, and Tract Census Codes of the property</w:t>
      </w:r>
    </w:p>
    <w:p w:rsidR="00DB6022" w:rsidRDefault="00DB6022" w:rsidP="00DB6022">
      <w:pPr>
        <w:pStyle w:val="ListParagraph"/>
        <w:widowControl w:val="0"/>
        <w:autoSpaceDE w:val="0"/>
        <w:autoSpaceDN w:val="0"/>
        <w:adjustRightInd w:val="0"/>
        <w:spacing w:after="381" w:line="360" w:lineRule="auto"/>
        <w:ind w:left="1440"/>
        <w:rPr>
          <w:rFonts w:ascii="Century Gothic" w:hAnsi="Century Gothic" w:cs="Times New Roman"/>
          <w:sz w:val="24"/>
          <w:szCs w:val="24"/>
        </w:rPr>
      </w:pPr>
      <w:r>
        <w:rPr>
          <w:rFonts w:ascii="Century Gothic" w:hAnsi="Century Gothic" w:cs="Times New Roman"/>
          <w:sz w:val="24"/>
          <w:szCs w:val="24"/>
        </w:rPr>
        <w:t xml:space="preserve">This can be found </w:t>
      </w:r>
      <w:r w:rsidRPr="003F38A3">
        <w:rPr>
          <w:rFonts w:ascii="Century Gothic" w:hAnsi="Century Gothic" w:cs="Times New Roman"/>
          <w:sz w:val="24"/>
          <w:szCs w:val="24"/>
        </w:rPr>
        <w:t xml:space="preserve">using </w:t>
      </w:r>
      <w:r>
        <w:rPr>
          <w:rFonts w:ascii="Century Gothic" w:hAnsi="Century Gothic" w:cs="Times New Roman"/>
          <w:sz w:val="24"/>
          <w:szCs w:val="24"/>
        </w:rPr>
        <w:t xml:space="preserve">the </w:t>
      </w:r>
      <w:r w:rsidRPr="003F38A3">
        <w:rPr>
          <w:rFonts w:ascii="Century Gothic" w:hAnsi="Century Gothic" w:cs="Times New Roman"/>
          <w:sz w:val="24"/>
          <w:szCs w:val="24"/>
        </w:rPr>
        <w:t xml:space="preserve">FFIEC Geocoding </w:t>
      </w:r>
      <w:r>
        <w:rPr>
          <w:rFonts w:ascii="Century Gothic" w:hAnsi="Century Gothic" w:cs="Times New Roman"/>
          <w:sz w:val="24"/>
          <w:szCs w:val="24"/>
        </w:rPr>
        <w:t>S</w:t>
      </w:r>
      <w:r w:rsidRPr="003F38A3">
        <w:rPr>
          <w:rFonts w:ascii="Century Gothic" w:hAnsi="Century Gothic" w:cs="Times New Roman"/>
          <w:sz w:val="24"/>
          <w:szCs w:val="24"/>
        </w:rPr>
        <w:t>ystem</w:t>
      </w:r>
      <w:r>
        <w:rPr>
          <w:rFonts w:ascii="Century Gothic" w:hAnsi="Century Gothic" w:cs="Times New Roman"/>
          <w:sz w:val="24"/>
          <w:szCs w:val="24"/>
        </w:rPr>
        <w:t xml:space="preserve"> website at </w:t>
      </w:r>
      <w:hyperlink r:id="rId11" w:history="1">
        <w:r w:rsidRPr="003F38A3">
          <w:rPr>
            <w:rStyle w:val="Hyperlink"/>
            <w:rFonts w:ascii="Century Gothic" w:hAnsi="Century Gothic" w:cs="Times New Roman"/>
            <w:sz w:val="24"/>
            <w:szCs w:val="24"/>
          </w:rPr>
          <w:t>www.ffiec.gov/Geocode/default.aspx</w:t>
        </w:r>
      </w:hyperlink>
      <w:r>
        <w:rPr>
          <w:rFonts w:ascii="Century Gothic" w:hAnsi="Century Gothic" w:cs="Times New Roman"/>
          <w:sz w:val="24"/>
          <w:szCs w:val="24"/>
        </w:rPr>
        <w:t xml:space="preserve">. </w:t>
      </w:r>
      <w:r w:rsidR="00BF74C4">
        <w:rPr>
          <w:rFonts w:ascii="Century Gothic" w:hAnsi="Century Gothic" w:cs="Times New Roman"/>
          <w:sz w:val="24"/>
          <w:szCs w:val="24"/>
        </w:rPr>
        <w:t>Enter the address of the property; click “Search” and the following page will identify the State, County, and Tract Codes for the requested address.</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I</w:t>
      </w:r>
      <w:r w:rsidR="00DC7480" w:rsidRPr="003F38A3">
        <w:rPr>
          <w:rFonts w:ascii="Century Gothic" w:hAnsi="Century Gothic" w:cs="Times New Roman"/>
          <w:sz w:val="24"/>
        </w:rPr>
        <w:t>ndustry</w:t>
      </w:r>
      <w:r w:rsidR="00C52EBF">
        <w:rPr>
          <w:rFonts w:ascii="Century Gothic" w:hAnsi="Century Gothic" w:cs="Times New Roman"/>
          <w:sz w:val="24"/>
        </w:rPr>
        <w:t xml:space="preserve"> type</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D</w:t>
      </w:r>
      <w:r w:rsidR="00DC7480" w:rsidRPr="003F38A3">
        <w:rPr>
          <w:rFonts w:ascii="Century Gothic" w:hAnsi="Century Gothic" w:cs="Times New Roman"/>
          <w:sz w:val="24"/>
        </w:rPr>
        <w:t>escription of products</w:t>
      </w:r>
      <w:r w:rsidR="00C52EBF">
        <w:rPr>
          <w:rFonts w:ascii="Century Gothic" w:hAnsi="Century Gothic" w:cs="Times New Roman"/>
          <w:sz w:val="24"/>
        </w:rPr>
        <w:t xml:space="preserve"> and/or </w:t>
      </w:r>
      <w:r w:rsidR="00DC7480" w:rsidRPr="003F38A3">
        <w:rPr>
          <w:rFonts w:ascii="Century Gothic" w:hAnsi="Century Gothic" w:cs="Times New Roman"/>
          <w:sz w:val="24"/>
        </w:rPr>
        <w:t>services</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T</w:t>
      </w:r>
      <w:r w:rsidR="00DC7480" w:rsidRPr="003F38A3">
        <w:rPr>
          <w:rFonts w:ascii="Century Gothic" w:hAnsi="Century Gothic" w:cs="Times New Roman"/>
          <w:sz w:val="24"/>
        </w:rPr>
        <w:t>ype of security</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M</w:t>
      </w:r>
      <w:r w:rsidR="00DC7480" w:rsidRPr="003F38A3">
        <w:rPr>
          <w:rFonts w:ascii="Century Gothic" w:hAnsi="Century Gothic" w:cs="Times New Roman"/>
          <w:sz w:val="24"/>
        </w:rPr>
        <w:t>onth</w:t>
      </w:r>
      <w:r>
        <w:rPr>
          <w:rFonts w:ascii="Century Gothic" w:hAnsi="Century Gothic" w:cs="Times New Roman"/>
          <w:sz w:val="24"/>
        </w:rPr>
        <w:t xml:space="preserve"> and </w:t>
      </w:r>
      <w:r w:rsidR="00DC7480" w:rsidRPr="003F38A3">
        <w:rPr>
          <w:rFonts w:ascii="Century Gothic" w:hAnsi="Century Gothic" w:cs="Times New Roman"/>
          <w:sz w:val="24"/>
        </w:rPr>
        <w:t xml:space="preserve">year of </w:t>
      </w:r>
      <w:r w:rsidR="0025792C" w:rsidRPr="003F38A3">
        <w:rPr>
          <w:rFonts w:ascii="Century Gothic" w:hAnsi="Century Gothic" w:cs="Times New Roman"/>
          <w:sz w:val="24"/>
        </w:rPr>
        <w:t>initial</w:t>
      </w:r>
      <w:r w:rsidR="00DC7480" w:rsidRPr="003F38A3">
        <w:rPr>
          <w:rFonts w:ascii="Century Gothic" w:hAnsi="Century Gothic" w:cs="Times New Roman"/>
          <w:sz w:val="24"/>
        </w:rPr>
        <w:t xml:space="preserve"> investment</w:t>
      </w:r>
    </w:p>
    <w:p w:rsidR="00070072"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T</w:t>
      </w:r>
      <w:r w:rsidR="00DC7480" w:rsidRPr="003F38A3">
        <w:rPr>
          <w:rFonts w:ascii="Century Gothic" w:hAnsi="Century Gothic" w:cs="Times New Roman"/>
          <w:sz w:val="24"/>
        </w:rPr>
        <w:t>otal investment amount</w:t>
      </w:r>
    </w:p>
    <w:p w:rsidR="00C52EBF" w:rsidRDefault="00070072"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I</w:t>
      </w:r>
      <w:r w:rsidR="00DC7480" w:rsidRPr="003F38A3">
        <w:rPr>
          <w:rFonts w:ascii="Century Gothic" w:hAnsi="Century Gothic" w:cs="Times New Roman"/>
          <w:sz w:val="24"/>
        </w:rPr>
        <w:t>nvestment</w:t>
      </w:r>
      <w:r w:rsidR="0025792C" w:rsidRPr="003F38A3">
        <w:rPr>
          <w:rFonts w:ascii="Century Gothic" w:hAnsi="Century Gothic" w:cs="Times New Roman"/>
          <w:sz w:val="24"/>
        </w:rPr>
        <w:t xml:space="preserve"> percentage </w:t>
      </w:r>
      <w:r w:rsidR="00C52EBF">
        <w:rPr>
          <w:rFonts w:ascii="Century Gothic" w:hAnsi="Century Gothic" w:cs="Times New Roman"/>
          <w:sz w:val="24"/>
        </w:rPr>
        <w:t>as of</w:t>
      </w:r>
      <w:r w:rsidR="00C52EBF" w:rsidRPr="003F38A3">
        <w:rPr>
          <w:rFonts w:ascii="Century Gothic" w:hAnsi="Century Gothic" w:cs="Times New Roman"/>
          <w:sz w:val="24"/>
        </w:rPr>
        <w:t xml:space="preserve"> </w:t>
      </w:r>
      <w:r w:rsidR="0025792C" w:rsidRPr="003F38A3">
        <w:rPr>
          <w:rFonts w:ascii="Century Gothic" w:hAnsi="Century Gothic" w:cs="Times New Roman"/>
          <w:sz w:val="24"/>
        </w:rPr>
        <w:t>whole investment</w:t>
      </w:r>
    </w:p>
    <w:p w:rsidR="00DC7480" w:rsidRPr="003F38A3" w:rsidRDefault="00C52EBF" w:rsidP="005F3C42">
      <w:pPr>
        <w:pStyle w:val="ListParagraph"/>
        <w:widowControl w:val="0"/>
        <w:numPr>
          <w:ilvl w:val="1"/>
          <w:numId w:val="15"/>
        </w:numPr>
        <w:autoSpaceDE w:val="0"/>
        <w:autoSpaceDN w:val="0"/>
        <w:adjustRightInd w:val="0"/>
        <w:spacing w:after="381" w:line="360" w:lineRule="auto"/>
        <w:rPr>
          <w:rFonts w:ascii="Century Gothic" w:hAnsi="Century Gothic" w:cs="Times New Roman"/>
          <w:sz w:val="24"/>
        </w:rPr>
      </w:pPr>
      <w:r>
        <w:rPr>
          <w:rFonts w:ascii="Century Gothic" w:hAnsi="Century Gothic" w:cs="Times New Roman"/>
          <w:sz w:val="24"/>
        </w:rPr>
        <w:t>S</w:t>
      </w:r>
      <w:r w:rsidR="00DC7480" w:rsidRPr="003F38A3">
        <w:rPr>
          <w:rFonts w:ascii="Century Gothic" w:hAnsi="Century Gothic" w:cs="Times New Roman"/>
          <w:sz w:val="24"/>
        </w:rPr>
        <w:t>tatus</w:t>
      </w:r>
      <w:r>
        <w:rPr>
          <w:rFonts w:ascii="Century Gothic" w:hAnsi="Century Gothic" w:cs="Times New Roman"/>
          <w:sz w:val="24"/>
        </w:rPr>
        <w:t xml:space="preserve"> of investment</w:t>
      </w:r>
      <w:r w:rsidR="00DC7480" w:rsidRPr="003F38A3">
        <w:rPr>
          <w:rFonts w:ascii="Century Gothic" w:hAnsi="Century Gothic" w:cs="Times New Roman"/>
          <w:sz w:val="24"/>
        </w:rPr>
        <w:t xml:space="preserve"> (realized and unrealized)</w:t>
      </w:r>
    </w:p>
    <w:p w:rsidR="0025792C" w:rsidRPr="003F38A3" w:rsidRDefault="0025792C" w:rsidP="005F3C42">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Provide a chart of your organization</w:t>
      </w:r>
      <w:r w:rsidR="00C52EBF">
        <w:rPr>
          <w:rFonts w:ascii="Century Gothic" w:hAnsi="Century Gothic" w:cs="Times New Roman"/>
          <w:sz w:val="24"/>
        </w:rPr>
        <w:t>’</w:t>
      </w:r>
      <w:r w:rsidRPr="003F38A3">
        <w:rPr>
          <w:rFonts w:ascii="Century Gothic" w:hAnsi="Century Gothic" w:cs="Times New Roman"/>
          <w:sz w:val="24"/>
        </w:rPr>
        <w:t>s management structure. Also, provide details of the economic arrangement between the General Partner and the Management Company.</w:t>
      </w:r>
    </w:p>
    <w:p w:rsidR="0025792C" w:rsidRPr="003F38A3" w:rsidRDefault="0025792C" w:rsidP="005F3C42">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t>Does your organization have an Advisory Board? If ye</w:t>
      </w:r>
      <w:r w:rsidR="00C52EBF">
        <w:rPr>
          <w:rFonts w:ascii="Century Gothic" w:hAnsi="Century Gothic" w:cs="Times New Roman"/>
          <w:sz w:val="24"/>
        </w:rPr>
        <w:t>s</w:t>
      </w:r>
      <w:r w:rsidRPr="003F38A3">
        <w:rPr>
          <w:rFonts w:ascii="Century Gothic" w:hAnsi="Century Gothic" w:cs="Times New Roman"/>
          <w:sz w:val="24"/>
        </w:rPr>
        <w:t>, describe the function of the Advisory Board. Also, describe the composition of the advisory board including background and responsibilities of each member.</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For the proposed fund, please provide a breakdown of investments (based on cost) by industry, sector and geography.</w:t>
      </w:r>
    </w:p>
    <w:p w:rsidR="0025792C" w:rsidRPr="003F38A3" w:rsidRDefault="0025792C" w:rsidP="005F3C42">
      <w:pPr>
        <w:pStyle w:val="ListParagraph"/>
        <w:numPr>
          <w:ilvl w:val="0"/>
          <w:numId w:val="15"/>
        </w:numPr>
        <w:spacing w:line="360" w:lineRule="auto"/>
        <w:rPr>
          <w:rFonts w:ascii="Century Gothic" w:hAnsi="Century Gothic" w:cs="Times New Roman"/>
          <w:sz w:val="24"/>
        </w:rPr>
      </w:pPr>
      <w:r w:rsidRPr="003F38A3">
        <w:rPr>
          <w:rFonts w:ascii="Century Gothic" w:hAnsi="Century Gothic" w:cs="Times New Roman"/>
          <w:sz w:val="24"/>
        </w:rPr>
        <w:lastRenderedPageBreak/>
        <w:t xml:space="preserve">For hedge funds, provide analysis of the fund’s investment strategy including the investment type and leverage limit. </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Briefly explain your strategy for adding value to portfolio companies. Please list specific techniques employed to improve the operations of acquired companies.</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 xml:space="preserve">Please show the performance of each of your previous funds. If investments were not made in U.S. Dollars, please calculate the internal rates of return on a U.S. dollar basis. </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 xml:space="preserve">For private funds, please show the Internal Rate of Return (“IRR”) calculations (clearly set forth the methodology for determining the IRR). </w:t>
      </w:r>
    </w:p>
    <w:p w:rsidR="00034012" w:rsidRPr="00C0744F" w:rsidRDefault="005164A4" w:rsidP="00C0744F">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rPr>
      </w:pPr>
      <w:r w:rsidRPr="003F38A3">
        <w:rPr>
          <w:rFonts w:ascii="Century Gothic" w:hAnsi="Century Gothic" w:cs="Times New Roman"/>
          <w:sz w:val="24"/>
        </w:rPr>
        <w:t>If the private fund is for real estate, please show the net asset value, funds from operations, and adjusted funds from operations (AFFO).</w:t>
      </w:r>
    </w:p>
    <w:p w:rsidR="0025792C" w:rsidRPr="005F3C42" w:rsidRDefault="005164A4" w:rsidP="005F3C42">
      <w:pPr>
        <w:rPr>
          <w:rFonts w:ascii="Century Gothic" w:hAnsi="Century Gothic" w:cs="Times New Roman"/>
          <w:b/>
          <w:sz w:val="24"/>
          <w:szCs w:val="24"/>
        </w:rPr>
      </w:pPr>
      <w:r w:rsidRPr="005F3C42">
        <w:rPr>
          <w:rFonts w:ascii="Century Gothic" w:hAnsi="Century Gothic" w:cs="Times New Roman"/>
          <w:b/>
          <w:sz w:val="24"/>
          <w:szCs w:val="24"/>
        </w:rPr>
        <w:t>Schedule D</w:t>
      </w:r>
      <w:r w:rsidR="0025792C" w:rsidRPr="005F3C42">
        <w:rPr>
          <w:rFonts w:ascii="Century Gothic" w:hAnsi="Century Gothic" w:cs="Times New Roman"/>
          <w:b/>
          <w:sz w:val="24"/>
          <w:szCs w:val="24"/>
        </w:rPr>
        <w:t xml:space="preserve"> Investment Questions</w:t>
      </w:r>
    </w:p>
    <w:p w:rsidR="0025792C" w:rsidRPr="003F38A3" w:rsidRDefault="0025792C" w:rsidP="005F3C42">
      <w:pPr>
        <w:pStyle w:val="ListParagraph"/>
        <w:numPr>
          <w:ilvl w:val="0"/>
          <w:numId w:val="15"/>
        </w:numPr>
        <w:spacing w:line="360" w:lineRule="auto"/>
        <w:rPr>
          <w:rFonts w:ascii="Century Gothic" w:hAnsi="Century Gothic" w:cs="Times New Roman"/>
          <w:sz w:val="24"/>
          <w:szCs w:val="24"/>
        </w:rPr>
      </w:pPr>
      <w:r w:rsidRPr="003F38A3">
        <w:rPr>
          <w:rFonts w:ascii="Century Gothic" w:hAnsi="Century Gothic" w:cs="Times New Roman"/>
          <w:sz w:val="24"/>
          <w:szCs w:val="24"/>
        </w:rPr>
        <w:t>Please provide information regarding the nature of the investment. (See</w:t>
      </w:r>
      <w:r w:rsidR="00ED5FEC">
        <w:rPr>
          <w:rFonts w:ascii="Century Gothic" w:hAnsi="Century Gothic" w:cs="Times New Roman"/>
          <w:sz w:val="24"/>
          <w:szCs w:val="24"/>
        </w:rPr>
        <w:t xml:space="preserve"> A</w:t>
      </w:r>
      <w:r w:rsidRPr="003F38A3">
        <w:rPr>
          <w:rFonts w:ascii="Century Gothic" w:hAnsi="Century Gothic" w:cs="Times New Roman"/>
          <w:sz w:val="24"/>
          <w:szCs w:val="24"/>
        </w:rPr>
        <w:t>ppendix I</w:t>
      </w:r>
      <w:r w:rsidR="00ED5FEC">
        <w:rPr>
          <w:rFonts w:ascii="Century Gothic" w:hAnsi="Century Gothic" w:cs="Times New Roman"/>
          <w:sz w:val="24"/>
          <w:szCs w:val="24"/>
        </w:rPr>
        <w:t>I</w:t>
      </w:r>
      <w:r w:rsidRPr="003F38A3">
        <w:rPr>
          <w:rFonts w:ascii="Century Gothic" w:hAnsi="Century Gothic" w:cs="Times New Roman"/>
          <w:sz w:val="24"/>
          <w:szCs w:val="24"/>
        </w:rPr>
        <w:t xml:space="preserve"> for investment type. If it is municipal bond, select the type from table III in Appendix II</w:t>
      </w:r>
      <w:r w:rsidR="00ED5FEC">
        <w:rPr>
          <w:rFonts w:ascii="Century Gothic" w:hAnsi="Century Gothic" w:cs="Times New Roman"/>
          <w:sz w:val="24"/>
          <w:szCs w:val="24"/>
        </w:rPr>
        <w:t>I.</w:t>
      </w:r>
      <w:r w:rsidRPr="003F38A3">
        <w:rPr>
          <w:rFonts w:ascii="Century Gothic" w:hAnsi="Century Gothic" w:cs="Times New Roman"/>
          <w:sz w:val="24"/>
          <w:szCs w:val="24"/>
        </w:rPr>
        <w:t>)</w:t>
      </w: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 xml:space="preserve">Please provide </w:t>
      </w:r>
      <w:r w:rsidR="00CD3F30">
        <w:rPr>
          <w:rFonts w:ascii="Century Gothic" w:hAnsi="Century Gothic" w:cs="Times New Roman"/>
          <w:sz w:val="24"/>
          <w:szCs w:val="24"/>
        </w:rPr>
        <w:t xml:space="preserve">the </w:t>
      </w:r>
      <w:r w:rsidRPr="003F38A3">
        <w:rPr>
          <w:rFonts w:ascii="Century Gothic" w:hAnsi="Century Gothic" w:cs="Times New Roman"/>
          <w:sz w:val="24"/>
          <w:szCs w:val="24"/>
        </w:rPr>
        <w:t>following information regarding Schedule D investment</w:t>
      </w:r>
      <w:r w:rsidR="00CD3F30">
        <w:rPr>
          <w:rFonts w:ascii="Century Gothic" w:hAnsi="Century Gothic" w:cs="Times New Roman"/>
          <w:sz w:val="24"/>
          <w:szCs w:val="24"/>
        </w:rPr>
        <w:t>s</w:t>
      </w:r>
      <w:r w:rsidRPr="003F38A3">
        <w:rPr>
          <w:rFonts w:ascii="Century Gothic" w:hAnsi="Century Gothic" w:cs="Times New Roman"/>
          <w:sz w:val="24"/>
          <w:szCs w:val="24"/>
        </w:rPr>
        <w:t xml:space="preserve"> if applicable.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68"/>
        <w:gridCol w:w="3842"/>
      </w:tblGrid>
      <w:tr w:rsidR="005164A4" w:rsidRPr="003F38A3" w:rsidTr="000B2011">
        <w:tc>
          <w:tcPr>
            <w:tcW w:w="4161" w:type="dxa"/>
            <w:tcMar>
              <w:top w:w="0" w:type="dxa"/>
              <w:left w:w="108" w:type="dxa"/>
              <w:bottom w:w="0" w:type="dxa"/>
              <w:right w:w="108" w:type="dxa"/>
            </w:tcMar>
            <w:hideMark/>
          </w:tcPr>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Name of Bond Issuer/ Stock Issuer</w:t>
            </w:r>
          </w:p>
        </w:tc>
        <w:tc>
          <w:tcPr>
            <w:tcW w:w="3975" w:type="dxa"/>
            <w:tcMar>
              <w:top w:w="0" w:type="dxa"/>
              <w:left w:w="108" w:type="dxa"/>
              <w:bottom w:w="0" w:type="dxa"/>
              <w:right w:w="108" w:type="dxa"/>
            </w:tcMar>
          </w:tcPr>
          <w:p w:rsidR="005164A4" w:rsidRPr="003F38A3" w:rsidRDefault="005164A4" w:rsidP="000B2011">
            <w:pPr>
              <w:pStyle w:val="ListParagraph"/>
              <w:spacing w:after="0" w:line="240" w:lineRule="auto"/>
              <w:ind w:left="0"/>
              <w:rPr>
                <w:rFonts w:ascii="Century Gothic" w:hAnsi="Century Gothic" w:cs="Times New Roman"/>
                <w:sz w:val="24"/>
                <w:szCs w:val="24"/>
              </w:rPr>
            </w:pPr>
          </w:p>
        </w:tc>
      </w:tr>
      <w:tr w:rsidR="005164A4" w:rsidRPr="003F38A3" w:rsidTr="000B2011">
        <w:tc>
          <w:tcPr>
            <w:tcW w:w="4161" w:type="dxa"/>
            <w:tcMar>
              <w:top w:w="0" w:type="dxa"/>
              <w:left w:w="108" w:type="dxa"/>
              <w:bottom w:w="0" w:type="dxa"/>
              <w:right w:w="108" w:type="dxa"/>
            </w:tcMar>
            <w:hideMark/>
          </w:tcPr>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Description of Bond Issuer/ Stock Issuer regarding its mission and business</w:t>
            </w:r>
          </w:p>
        </w:tc>
        <w:tc>
          <w:tcPr>
            <w:tcW w:w="3975" w:type="dxa"/>
            <w:tcMar>
              <w:top w:w="0" w:type="dxa"/>
              <w:left w:w="108" w:type="dxa"/>
              <w:bottom w:w="0" w:type="dxa"/>
              <w:right w:w="108" w:type="dxa"/>
            </w:tcMar>
          </w:tcPr>
          <w:p w:rsidR="005164A4" w:rsidRPr="003F38A3" w:rsidRDefault="005164A4" w:rsidP="000B2011">
            <w:pPr>
              <w:pStyle w:val="ListParagraph"/>
              <w:spacing w:after="0" w:line="240" w:lineRule="auto"/>
              <w:ind w:left="0"/>
              <w:rPr>
                <w:rFonts w:ascii="Century Gothic" w:hAnsi="Century Gothic" w:cs="Times New Roman"/>
                <w:sz w:val="24"/>
                <w:szCs w:val="24"/>
              </w:rPr>
            </w:pPr>
          </w:p>
        </w:tc>
      </w:tr>
      <w:tr w:rsidR="005164A4" w:rsidRPr="003F38A3" w:rsidTr="000B2011">
        <w:tc>
          <w:tcPr>
            <w:tcW w:w="4161" w:type="dxa"/>
            <w:tcMar>
              <w:top w:w="0" w:type="dxa"/>
              <w:left w:w="108" w:type="dxa"/>
              <w:bottom w:w="0" w:type="dxa"/>
              <w:right w:w="108" w:type="dxa"/>
            </w:tcMar>
            <w:hideMark/>
          </w:tcPr>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Brief analysis regarding the issuer if it is a company, regarding its financial situation and business.</w:t>
            </w:r>
          </w:p>
        </w:tc>
        <w:tc>
          <w:tcPr>
            <w:tcW w:w="3975" w:type="dxa"/>
            <w:tcMar>
              <w:top w:w="0" w:type="dxa"/>
              <w:left w:w="108" w:type="dxa"/>
              <w:bottom w:w="0" w:type="dxa"/>
              <w:right w:w="108" w:type="dxa"/>
            </w:tcMar>
          </w:tcPr>
          <w:p w:rsidR="005164A4" w:rsidRPr="003F38A3" w:rsidRDefault="005164A4" w:rsidP="000B2011">
            <w:pPr>
              <w:pStyle w:val="ListParagraph"/>
              <w:spacing w:after="0" w:line="240" w:lineRule="auto"/>
              <w:ind w:left="0"/>
              <w:rPr>
                <w:rFonts w:ascii="Century Gothic" w:hAnsi="Century Gothic" w:cs="Times New Roman"/>
                <w:sz w:val="24"/>
                <w:szCs w:val="24"/>
              </w:rPr>
            </w:pPr>
          </w:p>
        </w:tc>
      </w:tr>
      <w:tr w:rsidR="005164A4" w:rsidRPr="003F38A3" w:rsidTr="000B2011">
        <w:tc>
          <w:tcPr>
            <w:tcW w:w="4161" w:type="dxa"/>
            <w:tcMar>
              <w:top w:w="0" w:type="dxa"/>
              <w:left w:w="108" w:type="dxa"/>
              <w:bottom w:w="0" w:type="dxa"/>
              <w:right w:w="108" w:type="dxa"/>
            </w:tcMar>
            <w:hideMark/>
          </w:tcPr>
          <w:p w:rsidR="005164A4" w:rsidRPr="003F38A3" w:rsidRDefault="005164A4" w:rsidP="000B2011">
            <w:pPr>
              <w:pStyle w:val="ListParagraph"/>
              <w:spacing w:after="0" w:line="240" w:lineRule="auto"/>
              <w:ind w:left="0"/>
              <w:rPr>
                <w:rFonts w:ascii="Century Gothic" w:eastAsiaTheme="minorHAnsi" w:hAnsi="Century Gothic" w:cs="Times New Roman"/>
                <w:sz w:val="24"/>
                <w:szCs w:val="24"/>
              </w:rPr>
            </w:pPr>
            <w:r w:rsidRPr="003F38A3">
              <w:rPr>
                <w:rFonts w:ascii="Century Gothic" w:hAnsi="Century Gothic" w:cs="Times New Roman"/>
                <w:sz w:val="24"/>
                <w:szCs w:val="24"/>
              </w:rPr>
              <w:t>Key features</w:t>
            </w:r>
          </w:p>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 xml:space="preserve">Bond: Principal Amount, Maturity, Coupon rate, Yield (Current yield, yield to maturity), Market price, Indentures and Covenants, Optionality, Sinking fund provision </w:t>
            </w:r>
          </w:p>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Stocks: Number of shares, current stock price, dividend if there is.</w:t>
            </w:r>
          </w:p>
        </w:tc>
        <w:tc>
          <w:tcPr>
            <w:tcW w:w="3975" w:type="dxa"/>
            <w:tcMar>
              <w:top w:w="0" w:type="dxa"/>
              <w:left w:w="108" w:type="dxa"/>
              <w:bottom w:w="0" w:type="dxa"/>
              <w:right w:w="108" w:type="dxa"/>
            </w:tcMar>
          </w:tcPr>
          <w:p w:rsidR="005164A4" w:rsidRPr="003F38A3" w:rsidRDefault="005164A4" w:rsidP="000B2011">
            <w:pPr>
              <w:pStyle w:val="ListParagraph"/>
              <w:spacing w:after="0" w:line="240" w:lineRule="auto"/>
              <w:ind w:left="0"/>
              <w:rPr>
                <w:rFonts w:ascii="Century Gothic" w:hAnsi="Century Gothic" w:cs="Times New Roman"/>
                <w:sz w:val="24"/>
                <w:szCs w:val="24"/>
              </w:rPr>
            </w:pPr>
          </w:p>
        </w:tc>
      </w:tr>
      <w:tr w:rsidR="005164A4" w:rsidRPr="003F38A3" w:rsidTr="000B2011">
        <w:tc>
          <w:tcPr>
            <w:tcW w:w="4161" w:type="dxa"/>
            <w:tcMar>
              <w:top w:w="0" w:type="dxa"/>
              <w:left w:w="108" w:type="dxa"/>
              <w:bottom w:w="0" w:type="dxa"/>
              <w:right w:w="108" w:type="dxa"/>
            </w:tcMar>
            <w:hideMark/>
          </w:tcPr>
          <w:p w:rsidR="005164A4" w:rsidRPr="003F38A3" w:rsidRDefault="005164A4" w:rsidP="000B2011">
            <w:pPr>
              <w:pStyle w:val="ListParagraph"/>
              <w:spacing w:after="0" w:line="240" w:lineRule="auto"/>
              <w:ind w:left="0"/>
              <w:rPr>
                <w:rFonts w:ascii="Century Gothic" w:eastAsiaTheme="minorHAnsi" w:hAnsi="Century Gothic" w:cs="Times New Roman"/>
                <w:sz w:val="24"/>
                <w:szCs w:val="24"/>
              </w:rPr>
            </w:pPr>
            <w:r w:rsidRPr="003F38A3">
              <w:rPr>
                <w:rFonts w:ascii="Century Gothic" w:hAnsi="Century Gothic" w:cs="Times New Roman"/>
                <w:sz w:val="24"/>
                <w:szCs w:val="24"/>
              </w:rPr>
              <w:t>Risk measures:</w:t>
            </w:r>
          </w:p>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 xml:space="preserve">Bond: Credit rating, risk analysis (Default risk, Inflation risk, market </w:t>
            </w:r>
            <w:r w:rsidRPr="003F38A3">
              <w:rPr>
                <w:rFonts w:ascii="Century Gothic" w:hAnsi="Century Gothic" w:cs="Times New Roman"/>
                <w:sz w:val="24"/>
                <w:szCs w:val="24"/>
              </w:rPr>
              <w:lastRenderedPageBreak/>
              <w:t>risk, legislative risk, liquidity risk, credit risk.)</w:t>
            </w:r>
          </w:p>
          <w:p w:rsidR="005164A4" w:rsidRPr="003F38A3" w:rsidRDefault="005164A4" w:rsidP="000B2011">
            <w:pPr>
              <w:pStyle w:val="ListParagraph"/>
              <w:spacing w:after="0" w:line="240" w:lineRule="auto"/>
              <w:ind w:left="0"/>
              <w:rPr>
                <w:rFonts w:ascii="Century Gothic" w:hAnsi="Century Gothic" w:cs="Times New Roman"/>
                <w:sz w:val="24"/>
                <w:szCs w:val="24"/>
              </w:rPr>
            </w:pPr>
            <w:r w:rsidRPr="003F38A3">
              <w:rPr>
                <w:rFonts w:ascii="Century Gothic" w:hAnsi="Century Gothic" w:cs="Times New Roman"/>
                <w:sz w:val="24"/>
                <w:szCs w:val="24"/>
              </w:rPr>
              <w:t>Stock: Market risk, Business risk, stock price volatility in the past.</w:t>
            </w:r>
          </w:p>
        </w:tc>
        <w:tc>
          <w:tcPr>
            <w:tcW w:w="3975" w:type="dxa"/>
            <w:tcMar>
              <w:top w:w="0" w:type="dxa"/>
              <w:left w:w="108" w:type="dxa"/>
              <w:bottom w:w="0" w:type="dxa"/>
              <w:right w:w="108" w:type="dxa"/>
            </w:tcMar>
          </w:tcPr>
          <w:p w:rsidR="005164A4" w:rsidRPr="003F38A3" w:rsidRDefault="005164A4" w:rsidP="000B2011">
            <w:pPr>
              <w:pStyle w:val="ListParagraph"/>
              <w:spacing w:after="0" w:line="240" w:lineRule="auto"/>
              <w:ind w:left="0"/>
              <w:rPr>
                <w:rFonts w:ascii="Century Gothic" w:hAnsi="Century Gothic" w:cs="Times New Roman"/>
                <w:sz w:val="24"/>
                <w:szCs w:val="24"/>
              </w:rPr>
            </w:pPr>
          </w:p>
        </w:tc>
      </w:tr>
    </w:tbl>
    <w:p w:rsidR="005164A4" w:rsidRPr="003F38A3" w:rsidRDefault="005164A4" w:rsidP="005164A4">
      <w:pPr>
        <w:pStyle w:val="ListParagraph"/>
        <w:rPr>
          <w:rFonts w:ascii="Century Gothic" w:hAnsi="Century Gothic" w:cs="Times New Roman"/>
          <w:color w:val="808080" w:themeColor="background1" w:themeShade="80"/>
          <w:sz w:val="24"/>
          <w:szCs w:val="24"/>
        </w:rPr>
      </w:pPr>
    </w:p>
    <w:p w:rsidR="005164A4" w:rsidRPr="003F38A3"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 xml:space="preserve">Who is the beneficiary of this investment, what is the purpose of the investment? </w:t>
      </w:r>
    </w:p>
    <w:p w:rsidR="003E758E" w:rsidRDefault="005164A4" w:rsidP="005F3C42">
      <w:pPr>
        <w:pStyle w:val="ListParagraph"/>
        <w:widowControl w:val="0"/>
        <w:numPr>
          <w:ilvl w:val="0"/>
          <w:numId w:val="15"/>
        </w:numPr>
        <w:autoSpaceDE w:val="0"/>
        <w:autoSpaceDN w:val="0"/>
        <w:adjustRightInd w:val="0"/>
        <w:spacing w:after="381" w:line="360" w:lineRule="auto"/>
        <w:rPr>
          <w:rFonts w:ascii="Century Gothic" w:hAnsi="Century Gothic" w:cs="Times New Roman"/>
          <w:sz w:val="24"/>
          <w:szCs w:val="24"/>
        </w:rPr>
      </w:pPr>
      <w:r w:rsidRPr="003F38A3">
        <w:rPr>
          <w:rFonts w:ascii="Century Gothic" w:hAnsi="Century Gothic" w:cs="Times New Roman"/>
          <w:sz w:val="24"/>
          <w:szCs w:val="24"/>
        </w:rPr>
        <w:t xml:space="preserve">How often do you reevaluate the factors of your investment </w:t>
      </w:r>
      <w:r w:rsidR="00CD3F30">
        <w:rPr>
          <w:rFonts w:ascii="Century Gothic" w:hAnsi="Century Gothic" w:cs="Times New Roman"/>
          <w:sz w:val="24"/>
          <w:szCs w:val="24"/>
        </w:rPr>
        <w:t xml:space="preserve">that </w:t>
      </w:r>
      <w:r w:rsidRPr="003F38A3">
        <w:rPr>
          <w:rFonts w:ascii="Century Gothic" w:hAnsi="Century Gothic" w:cs="Times New Roman"/>
          <w:sz w:val="24"/>
          <w:szCs w:val="24"/>
        </w:rPr>
        <w:t xml:space="preserve">face </w:t>
      </w:r>
      <w:r w:rsidR="00CD3F30">
        <w:rPr>
          <w:rFonts w:ascii="Century Gothic" w:hAnsi="Century Gothic" w:cs="Times New Roman"/>
          <w:sz w:val="24"/>
          <w:szCs w:val="24"/>
        </w:rPr>
        <w:t xml:space="preserve">a </w:t>
      </w:r>
    </w:p>
    <w:p w:rsidR="003E758E" w:rsidRDefault="003E758E" w:rsidP="003E758E">
      <w:pPr>
        <w:pStyle w:val="ListParagraph"/>
        <w:widowControl w:val="0"/>
        <w:autoSpaceDE w:val="0"/>
        <w:autoSpaceDN w:val="0"/>
        <w:adjustRightInd w:val="0"/>
        <w:spacing w:after="381" w:line="360" w:lineRule="auto"/>
        <w:rPr>
          <w:rFonts w:ascii="Century Gothic" w:hAnsi="Century Gothic" w:cs="Times New Roman"/>
          <w:sz w:val="24"/>
          <w:szCs w:val="24"/>
        </w:rPr>
      </w:pPr>
    </w:p>
    <w:p w:rsidR="005164A4" w:rsidRPr="003F38A3" w:rsidRDefault="005164A4" w:rsidP="003E758E">
      <w:pPr>
        <w:pStyle w:val="ListParagraph"/>
        <w:widowControl w:val="0"/>
        <w:autoSpaceDE w:val="0"/>
        <w:autoSpaceDN w:val="0"/>
        <w:adjustRightInd w:val="0"/>
        <w:spacing w:after="381" w:line="360" w:lineRule="auto"/>
        <w:rPr>
          <w:rFonts w:ascii="Century Gothic" w:hAnsi="Century Gothic" w:cs="Times New Roman"/>
          <w:sz w:val="24"/>
          <w:szCs w:val="24"/>
        </w:rPr>
      </w:pPr>
      <w:proofErr w:type="gramStart"/>
      <w:r w:rsidRPr="003F38A3">
        <w:rPr>
          <w:rFonts w:ascii="Century Gothic" w:hAnsi="Century Gothic" w:cs="Times New Roman"/>
          <w:sz w:val="24"/>
          <w:szCs w:val="24"/>
        </w:rPr>
        <w:t>volatile</w:t>
      </w:r>
      <w:proofErr w:type="gramEnd"/>
      <w:r w:rsidRPr="003F38A3">
        <w:rPr>
          <w:rFonts w:ascii="Century Gothic" w:hAnsi="Century Gothic" w:cs="Times New Roman"/>
          <w:sz w:val="24"/>
          <w:szCs w:val="24"/>
        </w:rPr>
        <w:t xml:space="preserve"> market? What kind of factors </w:t>
      </w:r>
      <w:r w:rsidR="00CD3F30">
        <w:rPr>
          <w:rFonts w:ascii="Century Gothic" w:hAnsi="Century Gothic" w:cs="Times New Roman"/>
          <w:sz w:val="24"/>
          <w:szCs w:val="24"/>
        </w:rPr>
        <w:t xml:space="preserve">do </w:t>
      </w:r>
      <w:r w:rsidRPr="003F38A3">
        <w:rPr>
          <w:rFonts w:ascii="Century Gothic" w:hAnsi="Century Gothic" w:cs="Times New Roman"/>
          <w:sz w:val="24"/>
          <w:szCs w:val="24"/>
        </w:rPr>
        <w:t>you value highly for future processing?</w:t>
      </w:r>
    </w:p>
    <w:p w:rsidR="00B2576B" w:rsidRPr="003F38A3" w:rsidRDefault="00B2576B" w:rsidP="00C038E2">
      <w:pPr>
        <w:ind w:left="360"/>
        <w:rPr>
          <w:rFonts w:ascii="Century Gothic" w:hAnsi="Century Gothic" w:cs="Times New Roman"/>
          <w:sz w:val="24"/>
        </w:rPr>
      </w:pPr>
    </w:p>
    <w:p w:rsidR="00B2576B" w:rsidRPr="003F38A3" w:rsidRDefault="00B2576B" w:rsidP="00C038E2">
      <w:pPr>
        <w:ind w:left="360"/>
        <w:rPr>
          <w:rFonts w:ascii="Century Gothic" w:hAnsi="Century Gothic" w:cs="Times New Roman"/>
          <w:sz w:val="24"/>
        </w:rPr>
      </w:pPr>
    </w:p>
    <w:p w:rsidR="0025792C" w:rsidRPr="003F38A3" w:rsidRDefault="0025792C" w:rsidP="00C038E2">
      <w:pPr>
        <w:ind w:left="360"/>
        <w:rPr>
          <w:rFonts w:ascii="Century Gothic" w:hAnsi="Century Gothic" w:cs="Times New Roman"/>
          <w:sz w:val="24"/>
        </w:rPr>
      </w:pPr>
    </w:p>
    <w:p w:rsidR="0025792C" w:rsidRPr="003F38A3" w:rsidRDefault="0025792C" w:rsidP="00C038E2">
      <w:pPr>
        <w:ind w:left="360"/>
        <w:rPr>
          <w:rFonts w:ascii="Century Gothic" w:hAnsi="Century Gothic" w:cs="Times New Roman"/>
          <w:sz w:val="24"/>
        </w:rPr>
      </w:pPr>
    </w:p>
    <w:p w:rsidR="00A320B6" w:rsidRDefault="00A320B6">
      <w:pPr>
        <w:rPr>
          <w:rFonts w:ascii="Century Gothic" w:eastAsiaTheme="majorEastAsia" w:hAnsi="Century Gothic" w:cstheme="majorBidi"/>
          <w:b/>
          <w:bCs/>
          <w:snapToGrid w:val="0"/>
          <w:sz w:val="28"/>
          <w:szCs w:val="28"/>
        </w:rPr>
      </w:pPr>
      <w:bookmarkStart w:id="8" w:name="_Toc371580016"/>
      <w:r>
        <w:rPr>
          <w:rFonts w:ascii="Century Gothic" w:hAnsi="Century Gothic"/>
        </w:rPr>
        <w:br w:type="page"/>
      </w:r>
    </w:p>
    <w:p w:rsidR="00201C2B" w:rsidRDefault="00201C2B" w:rsidP="00774924">
      <w:pPr>
        <w:pStyle w:val="Heading1"/>
        <w:rPr>
          <w:rFonts w:ascii="Century Gothic" w:hAnsi="Century Gothic"/>
        </w:rPr>
      </w:pPr>
      <w:r w:rsidRPr="003F38A3">
        <w:rPr>
          <w:rFonts w:ascii="Century Gothic" w:hAnsi="Century Gothic"/>
        </w:rPr>
        <w:lastRenderedPageBreak/>
        <w:t>APPENDIX I</w:t>
      </w:r>
      <w:bookmarkEnd w:id="8"/>
    </w:p>
    <w:p w:rsidR="005939BA" w:rsidRDefault="005939BA" w:rsidP="004C4E25">
      <w:pPr>
        <w:pStyle w:val="ListParagraph"/>
        <w:ind w:left="360"/>
        <w:rPr>
          <w:rFonts w:ascii="Century Gothic" w:hAnsi="Century Gothic" w:cs="Times New Roman"/>
          <w:b/>
          <w:sz w:val="24"/>
        </w:rPr>
      </w:pPr>
    </w:p>
    <w:p w:rsidR="005939BA" w:rsidRDefault="005939BA" w:rsidP="005F3C42">
      <w:pPr>
        <w:pStyle w:val="ListParagraph"/>
        <w:ind w:left="0"/>
        <w:rPr>
          <w:rFonts w:ascii="Century Gothic" w:hAnsi="Century Gothic" w:cs="Times New Roman"/>
          <w:b/>
          <w:sz w:val="24"/>
          <w:u w:val="single"/>
        </w:rPr>
      </w:pPr>
      <w:r w:rsidRPr="005F3C42">
        <w:rPr>
          <w:rFonts w:ascii="Century Gothic" w:hAnsi="Century Gothic" w:cs="Times New Roman"/>
          <w:sz w:val="24"/>
        </w:rPr>
        <w:t xml:space="preserve">In </w:t>
      </w:r>
      <w:r>
        <w:rPr>
          <w:rFonts w:ascii="Century Gothic" w:hAnsi="Century Gothic" w:cs="Times New Roman"/>
          <w:sz w:val="24"/>
        </w:rPr>
        <w:t>order to qualify for</w:t>
      </w:r>
      <w:r w:rsidR="00CD3F30">
        <w:rPr>
          <w:rFonts w:ascii="Century Gothic" w:hAnsi="Century Gothic" w:cs="Times New Roman"/>
          <w:sz w:val="24"/>
        </w:rPr>
        <w:t xml:space="preserve"> the</w:t>
      </w:r>
      <w:r>
        <w:rPr>
          <w:rFonts w:ascii="Century Gothic" w:hAnsi="Century Gothic" w:cs="Times New Roman"/>
          <w:sz w:val="24"/>
        </w:rPr>
        <w:t xml:space="preserve"> COIN High Impact Investment Bulletin, it should either have certain social impact or environmental benefit in California. </w:t>
      </w:r>
      <w:r w:rsidR="00CD3F30">
        <w:rPr>
          <w:rFonts w:ascii="Century Gothic" w:hAnsi="Century Gothic" w:cs="Times New Roman"/>
          <w:sz w:val="24"/>
        </w:rPr>
        <w:t>To assist you in determining whether your investment qualifies, d</w:t>
      </w:r>
      <w:r w:rsidR="000754F3">
        <w:rPr>
          <w:rFonts w:ascii="Century Gothic" w:hAnsi="Century Gothic" w:cs="Times New Roman"/>
          <w:sz w:val="24"/>
        </w:rPr>
        <w:t>e</w:t>
      </w:r>
      <w:r w:rsidR="00BF74C4">
        <w:rPr>
          <w:rFonts w:ascii="Century Gothic" w:hAnsi="Century Gothic" w:cs="Times New Roman"/>
          <w:sz w:val="24"/>
        </w:rPr>
        <w:t>finitions and examples of these</w:t>
      </w:r>
      <w:r w:rsidR="00CD3F30">
        <w:rPr>
          <w:rFonts w:ascii="Century Gothic" w:hAnsi="Century Gothic" w:cs="Times New Roman"/>
          <w:sz w:val="24"/>
        </w:rPr>
        <w:t xml:space="preserve"> </w:t>
      </w:r>
      <w:r w:rsidR="000754F3">
        <w:rPr>
          <w:rFonts w:ascii="Century Gothic" w:hAnsi="Century Gothic" w:cs="Times New Roman"/>
          <w:sz w:val="24"/>
        </w:rPr>
        <w:t>investments are below:</w:t>
      </w:r>
    </w:p>
    <w:p w:rsidR="005939BA" w:rsidRPr="003F38A3" w:rsidRDefault="005939BA" w:rsidP="005939BA">
      <w:pPr>
        <w:ind w:left="360"/>
        <w:rPr>
          <w:rFonts w:ascii="Century Gothic" w:hAnsi="Century Gothic" w:cs="Times New Roman"/>
          <w:sz w:val="24"/>
        </w:rPr>
      </w:pPr>
      <w:r w:rsidRPr="003F38A3">
        <w:rPr>
          <w:rFonts w:ascii="Century Gothic" w:hAnsi="Century Gothic" w:cs="Times New Roman"/>
          <w:b/>
          <w:sz w:val="24"/>
          <w:u w:val="single"/>
        </w:rPr>
        <w:t>Community Development Investment</w:t>
      </w:r>
      <w:r w:rsidRPr="003F38A3">
        <w:rPr>
          <w:rFonts w:ascii="Century Gothic" w:hAnsi="Century Gothic" w:cs="Times New Roman"/>
          <w:sz w:val="24"/>
        </w:rPr>
        <w:t xml:space="preserve"> means an investment where all or a portion of the investment has as its primary purpose community development for, or that directly benef</w:t>
      </w:r>
      <w:r w:rsidR="00DE4E89">
        <w:rPr>
          <w:rFonts w:ascii="Century Gothic" w:hAnsi="Century Gothic" w:cs="Times New Roman"/>
          <w:sz w:val="24"/>
        </w:rPr>
        <w:t xml:space="preserve">its California low-to-moderate </w:t>
      </w:r>
      <w:r w:rsidRPr="003F38A3">
        <w:rPr>
          <w:rFonts w:ascii="Century Gothic" w:hAnsi="Century Gothic" w:cs="Times New Roman"/>
          <w:sz w:val="24"/>
        </w:rPr>
        <w:t>income (LMI) individuals, families or communities. Community Development Investments include, but are not limited to</w:t>
      </w:r>
      <w:r w:rsidR="00EF6656">
        <w:rPr>
          <w:rFonts w:ascii="Century Gothic" w:hAnsi="Century Gothic" w:cs="Times New Roman"/>
          <w:sz w:val="24"/>
        </w:rPr>
        <w:t>,</w:t>
      </w:r>
      <w:r w:rsidRPr="003F38A3">
        <w:rPr>
          <w:rFonts w:ascii="Century Gothic" w:hAnsi="Century Gothic" w:cs="Times New Roman"/>
          <w:sz w:val="24"/>
        </w:rPr>
        <w:t xml:space="preserve"> investments in California in the following</w:t>
      </w:r>
      <w:r w:rsidR="00EF6656">
        <w:rPr>
          <w:rFonts w:ascii="Century Gothic" w:hAnsi="Century Gothic" w:cs="Times New Roman"/>
          <w:sz w:val="24"/>
        </w:rPr>
        <w:t xml:space="preserve"> areas</w:t>
      </w:r>
      <w:r w:rsidRPr="003F38A3">
        <w:rPr>
          <w:rFonts w:ascii="Century Gothic" w:hAnsi="Century Gothic" w:cs="Times New Roman"/>
          <w:sz w:val="24"/>
        </w:rPr>
        <w:t>:</w:t>
      </w:r>
    </w:p>
    <w:p w:rsidR="005939BA" w:rsidRPr="007025B3" w:rsidRDefault="005939BA" w:rsidP="005939BA">
      <w:pPr>
        <w:pStyle w:val="ListParagraph"/>
        <w:numPr>
          <w:ilvl w:val="0"/>
          <w:numId w:val="29"/>
        </w:numPr>
        <w:contextualSpacing w:val="0"/>
        <w:rPr>
          <w:rFonts w:ascii="Century Gothic" w:hAnsi="Century Gothic" w:cs="Times New Roman"/>
          <w:sz w:val="24"/>
        </w:rPr>
      </w:pPr>
      <w:r w:rsidRPr="007025B3">
        <w:rPr>
          <w:rFonts w:ascii="Century Gothic" w:hAnsi="Century Gothic" w:cs="Times New Roman"/>
          <w:sz w:val="24"/>
        </w:rPr>
        <w:t xml:space="preserve">Affordable housing, including multifamily rental and ownership housing, for LMI individuals or families. </w:t>
      </w:r>
    </w:p>
    <w:p w:rsidR="005939BA" w:rsidRPr="007025B3" w:rsidRDefault="005939BA" w:rsidP="005939BA">
      <w:pPr>
        <w:pStyle w:val="ListParagraph"/>
        <w:numPr>
          <w:ilvl w:val="0"/>
          <w:numId w:val="29"/>
        </w:numPr>
        <w:contextualSpacing w:val="0"/>
        <w:rPr>
          <w:rFonts w:ascii="Century Gothic" w:hAnsi="Century Gothic" w:cs="Times New Roman"/>
          <w:sz w:val="24"/>
        </w:rPr>
      </w:pPr>
      <w:r w:rsidRPr="007025B3">
        <w:rPr>
          <w:rFonts w:ascii="Century Gothic" w:hAnsi="Century Gothic" w:cs="Times New Roman"/>
          <w:sz w:val="24"/>
        </w:rPr>
        <w:t>Community facilities or community services providers (including providers of educational, health or social services) directly benefiting LMI individuals, families or communities.</w:t>
      </w:r>
    </w:p>
    <w:p w:rsidR="005939BA" w:rsidRPr="007025B3" w:rsidRDefault="005939BA" w:rsidP="005939BA">
      <w:pPr>
        <w:pStyle w:val="ListParagraph"/>
        <w:numPr>
          <w:ilvl w:val="0"/>
          <w:numId w:val="29"/>
        </w:numPr>
        <w:contextualSpacing w:val="0"/>
        <w:rPr>
          <w:rFonts w:ascii="Century Gothic" w:hAnsi="Century Gothic" w:cs="Times New Roman"/>
          <w:sz w:val="24"/>
        </w:rPr>
      </w:pPr>
      <w:r w:rsidRPr="007025B3">
        <w:rPr>
          <w:rFonts w:ascii="Century Gothic" w:hAnsi="Century Gothic" w:cs="Times New Roman"/>
          <w:sz w:val="24"/>
        </w:rPr>
        <w:t>Economic development that demonstrates benefits, including, but not limited to job creation, retention or improvement, or provision of needed capital, to LMI individuals, fam</w:t>
      </w:r>
      <w:r w:rsidR="006A13A6">
        <w:rPr>
          <w:rFonts w:ascii="Century Gothic" w:hAnsi="Century Gothic" w:cs="Times New Roman"/>
          <w:sz w:val="24"/>
        </w:rPr>
        <w:t>ilies or communities</w:t>
      </w:r>
      <w:r w:rsidR="00B66BEF">
        <w:rPr>
          <w:rFonts w:ascii="Century Gothic" w:hAnsi="Century Gothic" w:cs="Times New Roman"/>
          <w:sz w:val="24"/>
        </w:rPr>
        <w:t>. This also incl</w:t>
      </w:r>
      <w:r w:rsidR="006A13A6">
        <w:rPr>
          <w:rFonts w:ascii="Century Gothic" w:hAnsi="Century Gothic" w:cs="Times New Roman"/>
          <w:sz w:val="24"/>
        </w:rPr>
        <w:t>udes</w:t>
      </w:r>
      <w:r w:rsidR="00B66BEF">
        <w:rPr>
          <w:rFonts w:ascii="Century Gothic" w:hAnsi="Century Gothic" w:cs="Times New Roman"/>
          <w:sz w:val="24"/>
        </w:rPr>
        <w:t xml:space="preserve"> </w:t>
      </w:r>
      <w:r w:rsidR="00B8415D">
        <w:rPr>
          <w:rFonts w:ascii="Century Gothic" w:hAnsi="Century Gothic" w:cs="Times New Roman"/>
          <w:sz w:val="24"/>
        </w:rPr>
        <w:t>urban or rural communities</w:t>
      </w:r>
      <w:r w:rsidRPr="007025B3">
        <w:rPr>
          <w:rFonts w:ascii="Century Gothic" w:hAnsi="Century Gothic" w:cs="Times New Roman"/>
          <w:sz w:val="24"/>
        </w:rPr>
        <w:t xml:space="preserve"> or businesses or nonprofit community service organizations that serve these communities.</w:t>
      </w:r>
    </w:p>
    <w:p w:rsidR="005939BA" w:rsidRPr="007025B3" w:rsidRDefault="005939BA" w:rsidP="005939BA">
      <w:pPr>
        <w:pStyle w:val="ListParagraph"/>
        <w:numPr>
          <w:ilvl w:val="0"/>
          <w:numId w:val="29"/>
        </w:numPr>
        <w:contextualSpacing w:val="0"/>
        <w:rPr>
          <w:rFonts w:ascii="Century Gothic" w:hAnsi="Century Gothic" w:cs="Times New Roman"/>
          <w:sz w:val="24"/>
        </w:rPr>
      </w:pPr>
      <w:r w:rsidRPr="007025B3">
        <w:rPr>
          <w:rFonts w:ascii="Century Gothic" w:hAnsi="Century Gothic" w:cs="Times New Roman"/>
          <w:sz w:val="24"/>
        </w:rPr>
        <w:t>Activities that revitalize or stabilize LMI communities.</w:t>
      </w:r>
    </w:p>
    <w:p w:rsidR="005939BA" w:rsidRPr="003F38A3" w:rsidRDefault="005939BA" w:rsidP="005939BA">
      <w:pPr>
        <w:pStyle w:val="ListParagraph"/>
        <w:numPr>
          <w:ilvl w:val="0"/>
          <w:numId w:val="29"/>
        </w:numPr>
      </w:pPr>
      <w:r w:rsidRPr="007025B3">
        <w:rPr>
          <w:rFonts w:ascii="Century Gothic" w:hAnsi="Century Gothic" w:cs="Times New Roman"/>
          <w:sz w:val="24"/>
        </w:rPr>
        <w:t>Investments in or through COIN-certified CDFIs and investments made pursuant to the requirements of federal, state, or local community development investment programs or community development tax incentive programs, if these investments directly benefit LMI individuals, families or communities.</w:t>
      </w:r>
    </w:p>
    <w:p w:rsidR="005939BA" w:rsidRPr="007025B3" w:rsidRDefault="005939BA" w:rsidP="005939BA">
      <w:pPr>
        <w:pStyle w:val="ListParagraph"/>
        <w:numPr>
          <w:ilvl w:val="0"/>
          <w:numId w:val="29"/>
        </w:numPr>
        <w:contextualSpacing w:val="0"/>
        <w:rPr>
          <w:rFonts w:ascii="Century Gothic" w:hAnsi="Century Gothic" w:cs="Times New Roman"/>
          <w:sz w:val="24"/>
        </w:rPr>
      </w:pPr>
      <w:r w:rsidRPr="007025B3">
        <w:rPr>
          <w:rFonts w:ascii="Century Gothic" w:hAnsi="Century Gothic" w:cs="Times New Roman"/>
          <w:sz w:val="24"/>
        </w:rPr>
        <w:t>Community development infrastructure investments, which means California public debt (including all debt issued by the State of California or a California State or local government agency) where all or a portion of the debt has as its primary purpose community development for, or that directly benefits, LMI communities and is consistent with the definition of Community Development Investment.</w:t>
      </w:r>
    </w:p>
    <w:p w:rsidR="005939BA" w:rsidRPr="007025B3" w:rsidRDefault="005939BA" w:rsidP="005939BA">
      <w:pPr>
        <w:pStyle w:val="ListParagraph"/>
        <w:numPr>
          <w:ilvl w:val="0"/>
          <w:numId w:val="29"/>
        </w:numPr>
        <w:contextualSpacing w:val="0"/>
        <w:rPr>
          <w:rFonts w:ascii="Century Gothic" w:hAnsi="Century Gothic" w:cs="Times New Roman"/>
          <w:sz w:val="24"/>
        </w:rPr>
      </w:pPr>
      <w:r w:rsidRPr="007025B3">
        <w:rPr>
          <w:rFonts w:ascii="Century Gothic" w:hAnsi="Century Gothic" w:cs="Times New Roman"/>
          <w:sz w:val="24"/>
        </w:rPr>
        <w:t>Investments in commercial property located in LMI census tracts and having community development as its primary purpose or directly benefiting LMI individuals, families or communities.</w:t>
      </w:r>
    </w:p>
    <w:p w:rsidR="005939BA" w:rsidRPr="003F38A3" w:rsidRDefault="005939BA" w:rsidP="005939BA">
      <w:pPr>
        <w:ind w:left="360"/>
        <w:rPr>
          <w:rFonts w:ascii="Century Gothic" w:hAnsi="Century Gothic" w:cs="Times New Roman"/>
          <w:sz w:val="24"/>
        </w:rPr>
      </w:pPr>
      <w:r w:rsidRPr="003F38A3">
        <w:rPr>
          <w:rFonts w:ascii="Century Gothic" w:hAnsi="Century Gothic" w:cs="Times New Roman"/>
          <w:b/>
          <w:sz w:val="24"/>
          <w:u w:val="single"/>
        </w:rPr>
        <w:t>Green Investments</w:t>
      </w:r>
      <w:r w:rsidRPr="003F38A3">
        <w:rPr>
          <w:rFonts w:ascii="Century Gothic" w:hAnsi="Century Gothic" w:cs="Times New Roman"/>
          <w:sz w:val="24"/>
        </w:rPr>
        <w:t xml:space="preserve"> include, but are not limited to, renewable energy projects, economic development, and affordable housing focused on infill sites so as to reduce the degree of automobile dependency and promote the use and reuse of existing urbanized lands supplied with infrastructure for the purpose of accommodating new growth and jobs.</w:t>
      </w:r>
    </w:p>
    <w:p w:rsidR="005939BA" w:rsidRDefault="005939BA" w:rsidP="005F3C42">
      <w:pPr>
        <w:ind w:left="360"/>
        <w:rPr>
          <w:rFonts w:ascii="Century Gothic" w:hAnsi="Century Gothic" w:cs="Times New Roman"/>
          <w:sz w:val="24"/>
        </w:rPr>
      </w:pPr>
      <w:r w:rsidRPr="003F38A3">
        <w:rPr>
          <w:rFonts w:ascii="Century Gothic" w:hAnsi="Century Gothic" w:cs="Times New Roman"/>
          <w:sz w:val="24"/>
        </w:rPr>
        <w:lastRenderedPageBreak/>
        <w:t>Green investments may also help communities grow through new capital investment in the maintenance and rehabilitation of existing infrastructure so that the reuse and reinvention of city centers and existing transportation corridors and community space, including projects offering energy efficiency improvements and renewable energy generation, including, but not limited to, solar and wind power, mixed-use development, affordable housing opportunities, multimodal transportation systems, and transit-oriented development, can advance economic development, jobs, and housing.</w:t>
      </w:r>
    </w:p>
    <w:p w:rsidR="005939BA" w:rsidRPr="003F38A3" w:rsidRDefault="005939BA" w:rsidP="005939BA">
      <w:pPr>
        <w:pStyle w:val="ListParagraph"/>
        <w:ind w:left="360"/>
        <w:rPr>
          <w:rFonts w:ascii="Century Gothic" w:hAnsi="Century Gothic" w:cs="Times New Roman"/>
          <w:b/>
          <w:sz w:val="24"/>
        </w:rPr>
      </w:pPr>
      <w:r w:rsidRPr="003F38A3">
        <w:rPr>
          <w:rFonts w:ascii="Century Gothic" w:hAnsi="Century Gothic" w:cs="Times New Roman"/>
          <w:b/>
          <w:sz w:val="24"/>
        </w:rPr>
        <w:t>Abbreviations:</w:t>
      </w:r>
    </w:p>
    <w:p w:rsidR="005939BA" w:rsidRPr="00F04797" w:rsidRDefault="005939BA" w:rsidP="005939BA">
      <w:pPr>
        <w:pStyle w:val="ListParagraph"/>
        <w:ind w:left="2160" w:hanging="1440"/>
        <w:rPr>
          <w:rFonts w:ascii="Century Gothic" w:hAnsi="Century Gothic" w:cs="Times New Roman"/>
          <w:sz w:val="24"/>
          <w:szCs w:val="24"/>
        </w:rPr>
      </w:pPr>
      <w:r w:rsidRPr="00FD19D9">
        <w:rPr>
          <w:rFonts w:ascii="Century Gothic" w:hAnsi="Century Gothic" w:cs="Times New Roman"/>
          <w:sz w:val="24"/>
          <w:szCs w:val="24"/>
        </w:rPr>
        <w:t>AMI</w:t>
      </w:r>
      <w:r w:rsidRPr="00FD19D9">
        <w:rPr>
          <w:rFonts w:ascii="Century Gothic" w:hAnsi="Century Gothic" w:cs="Times New Roman"/>
          <w:sz w:val="24"/>
          <w:szCs w:val="24"/>
        </w:rPr>
        <w:tab/>
      </w:r>
      <w:r w:rsidRPr="00062291">
        <w:rPr>
          <w:rFonts w:ascii="Century Gothic" w:hAnsi="Century Gothic" w:cs="Times New Roman"/>
          <w:sz w:val="24"/>
          <w:szCs w:val="24"/>
        </w:rPr>
        <w:t>Area median income</w:t>
      </w:r>
    </w:p>
    <w:p w:rsidR="005939BA" w:rsidRPr="005F3C42" w:rsidRDefault="005939BA" w:rsidP="005939BA">
      <w:pPr>
        <w:pStyle w:val="ListParagraph"/>
        <w:ind w:left="2160" w:hanging="1440"/>
        <w:rPr>
          <w:rFonts w:ascii="Century Gothic" w:hAnsi="Century Gothic" w:cs="Times New Roman"/>
          <w:sz w:val="24"/>
          <w:szCs w:val="24"/>
        </w:rPr>
      </w:pPr>
      <w:r w:rsidRPr="005939BA">
        <w:rPr>
          <w:rFonts w:ascii="Century Gothic" w:hAnsi="Century Gothic" w:cs="Times New Roman"/>
          <w:sz w:val="24"/>
          <w:szCs w:val="24"/>
        </w:rPr>
        <w:t>CDFI</w:t>
      </w:r>
      <w:r w:rsidRPr="005939BA">
        <w:rPr>
          <w:rFonts w:ascii="Century Gothic" w:hAnsi="Century Gothic" w:cs="Times New Roman"/>
          <w:sz w:val="24"/>
          <w:szCs w:val="24"/>
        </w:rPr>
        <w:tab/>
      </w:r>
      <w:r w:rsidRPr="005F3C42">
        <w:rPr>
          <w:rFonts w:ascii="Century Gothic" w:hAnsi="Century Gothic" w:cs="Times New Roman"/>
          <w:sz w:val="24"/>
          <w:szCs w:val="24"/>
        </w:rPr>
        <w:t>Community Development Financial Institution</w:t>
      </w:r>
    </w:p>
    <w:p w:rsidR="005939BA" w:rsidRDefault="005939BA" w:rsidP="005F3C42">
      <w:pPr>
        <w:pStyle w:val="ListParagraph"/>
        <w:ind w:left="2160" w:hanging="1440"/>
        <w:rPr>
          <w:rFonts w:ascii="Century Gothic" w:hAnsi="Century Gothic" w:cs="Times New Roman"/>
          <w:sz w:val="24"/>
          <w:szCs w:val="24"/>
        </w:rPr>
      </w:pPr>
      <w:r w:rsidRPr="005F3C42">
        <w:rPr>
          <w:rFonts w:ascii="Century Gothic" w:hAnsi="Century Gothic" w:cs="Times New Roman"/>
          <w:sz w:val="24"/>
          <w:szCs w:val="24"/>
        </w:rPr>
        <w:t>COIN</w:t>
      </w:r>
      <w:r w:rsidRPr="005F3C42">
        <w:rPr>
          <w:rFonts w:ascii="Century Gothic" w:hAnsi="Century Gothic" w:cs="Times New Roman"/>
          <w:sz w:val="24"/>
          <w:szCs w:val="24"/>
        </w:rPr>
        <w:tab/>
        <w:t>California Organized Investment Network in the California</w:t>
      </w:r>
    </w:p>
    <w:p w:rsidR="005939BA" w:rsidRPr="005F3C42" w:rsidRDefault="005939BA" w:rsidP="005F3C42">
      <w:pPr>
        <w:pStyle w:val="ListParagraph"/>
        <w:ind w:left="2160" w:hanging="1440"/>
        <w:rPr>
          <w:rFonts w:ascii="Century Gothic" w:hAnsi="Century Gothic"/>
          <w:sz w:val="24"/>
          <w:szCs w:val="24"/>
        </w:rPr>
      </w:pPr>
      <w:r>
        <w:rPr>
          <w:rFonts w:ascii="Century Gothic" w:hAnsi="Century Gothic" w:cs="Times New Roman"/>
          <w:sz w:val="24"/>
          <w:szCs w:val="24"/>
        </w:rPr>
        <w:tab/>
      </w:r>
      <w:r w:rsidRPr="00F04797">
        <w:rPr>
          <w:rFonts w:ascii="Century Gothic" w:hAnsi="Century Gothic"/>
          <w:sz w:val="24"/>
          <w:szCs w:val="24"/>
        </w:rPr>
        <w:t>Department of Insurance</w:t>
      </w:r>
    </w:p>
    <w:p w:rsidR="005939BA" w:rsidRPr="005F3C42" w:rsidRDefault="005939BA" w:rsidP="005F3C42">
      <w:pPr>
        <w:pStyle w:val="ListParagraph"/>
        <w:ind w:left="2160" w:hanging="1440"/>
        <w:rPr>
          <w:rFonts w:ascii="Century Gothic" w:hAnsi="Century Gothic"/>
          <w:sz w:val="24"/>
          <w:szCs w:val="24"/>
        </w:rPr>
      </w:pPr>
      <w:r w:rsidRPr="005F3C42">
        <w:rPr>
          <w:rFonts w:ascii="Century Gothic" w:hAnsi="Century Gothic" w:cs="Times New Roman"/>
          <w:sz w:val="24"/>
          <w:szCs w:val="24"/>
        </w:rPr>
        <w:t>FFIEC</w:t>
      </w:r>
      <w:r w:rsidRPr="005F3C42">
        <w:rPr>
          <w:rFonts w:ascii="Century Gothic" w:hAnsi="Century Gothic" w:cs="Times New Roman"/>
          <w:sz w:val="24"/>
          <w:szCs w:val="24"/>
        </w:rPr>
        <w:tab/>
        <w:t xml:space="preserve">Federal Financial Institutions Examination Council, an agency of the </w:t>
      </w:r>
      <w:r w:rsidRPr="005F3C42">
        <w:rPr>
          <w:rFonts w:ascii="Century Gothic" w:hAnsi="Century Gothic"/>
          <w:sz w:val="24"/>
          <w:szCs w:val="24"/>
        </w:rPr>
        <w:t>United States Government. Their Web site can be used to obtain the census tract information needed to determine whether certain investments qualify</w:t>
      </w:r>
      <w:r>
        <w:rPr>
          <w:rFonts w:ascii="Century Gothic" w:hAnsi="Century Gothic"/>
          <w:sz w:val="24"/>
          <w:szCs w:val="24"/>
        </w:rPr>
        <w:t>.</w:t>
      </w:r>
    </w:p>
    <w:p w:rsidR="005939BA" w:rsidRPr="00F04797" w:rsidRDefault="005939BA" w:rsidP="005939BA">
      <w:pPr>
        <w:pStyle w:val="ListParagraph"/>
        <w:ind w:left="2160" w:hanging="1440"/>
        <w:rPr>
          <w:rFonts w:ascii="Century Gothic" w:hAnsi="Century Gothic" w:cs="Times New Roman"/>
          <w:sz w:val="24"/>
          <w:szCs w:val="24"/>
        </w:rPr>
      </w:pPr>
      <w:r w:rsidRPr="00FD19D9">
        <w:rPr>
          <w:rFonts w:ascii="Century Gothic" w:hAnsi="Century Gothic" w:cs="Times New Roman"/>
          <w:sz w:val="24"/>
          <w:szCs w:val="24"/>
        </w:rPr>
        <w:t xml:space="preserve">LMI </w:t>
      </w:r>
      <w:r w:rsidRPr="00FD19D9">
        <w:rPr>
          <w:rFonts w:ascii="Century Gothic" w:hAnsi="Century Gothic" w:cs="Times New Roman"/>
          <w:sz w:val="24"/>
          <w:szCs w:val="24"/>
        </w:rPr>
        <w:tab/>
      </w:r>
      <w:r w:rsidRPr="00062291">
        <w:rPr>
          <w:rFonts w:ascii="Century Gothic" w:hAnsi="Century Gothic" w:cs="Times New Roman"/>
          <w:sz w:val="24"/>
          <w:szCs w:val="24"/>
        </w:rPr>
        <w:t>Low-to-moderate income</w:t>
      </w:r>
    </w:p>
    <w:p w:rsidR="005939BA" w:rsidRPr="005F3C42" w:rsidRDefault="005939BA" w:rsidP="005939BA">
      <w:pPr>
        <w:pStyle w:val="ListParagraph"/>
        <w:ind w:left="2160" w:hanging="1440"/>
        <w:rPr>
          <w:rFonts w:ascii="Century Gothic" w:hAnsi="Century Gothic" w:cs="Times New Roman"/>
          <w:sz w:val="24"/>
          <w:szCs w:val="24"/>
        </w:rPr>
      </w:pPr>
      <w:r w:rsidRPr="005939BA">
        <w:rPr>
          <w:rFonts w:ascii="Century Gothic" w:hAnsi="Century Gothic" w:cs="Times New Roman"/>
          <w:sz w:val="24"/>
          <w:szCs w:val="24"/>
        </w:rPr>
        <w:t>LIHTC</w:t>
      </w:r>
      <w:r w:rsidRPr="005939BA">
        <w:rPr>
          <w:rFonts w:ascii="Century Gothic" w:hAnsi="Century Gothic" w:cs="Times New Roman"/>
          <w:sz w:val="24"/>
          <w:szCs w:val="24"/>
        </w:rPr>
        <w:tab/>
      </w:r>
      <w:r w:rsidRPr="005F3C42">
        <w:rPr>
          <w:rFonts w:ascii="Century Gothic" w:hAnsi="Century Gothic" w:cs="Times New Roman"/>
          <w:sz w:val="24"/>
          <w:szCs w:val="24"/>
        </w:rPr>
        <w:t>Low Income Housing Tax Credits</w:t>
      </w:r>
    </w:p>
    <w:p w:rsidR="005939BA" w:rsidRPr="005F3C42" w:rsidRDefault="005939BA" w:rsidP="005939BA">
      <w:pPr>
        <w:pStyle w:val="ListParagraph"/>
        <w:ind w:left="2160" w:hanging="1440"/>
        <w:rPr>
          <w:rFonts w:ascii="Century Gothic" w:hAnsi="Century Gothic" w:cs="Times New Roman"/>
          <w:sz w:val="24"/>
          <w:szCs w:val="24"/>
        </w:rPr>
      </w:pPr>
      <w:r w:rsidRPr="005F3C42">
        <w:rPr>
          <w:rFonts w:ascii="Century Gothic" w:hAnsi="Century Gothic" w:cs="Times New Roman"/>
          <w:sz w:val="24"/>
          <w:szCs w:val="24"/>
        </w:rPr>
        <w:t>MSA</w:t>
      </w:r>
      <w:r w:rsidRPr="005F3C42">
        <w:rPr>
          <w:rFonts w:ascii="Century Gothic" w:hAnsi="Century Gothic" w:cs="Times New Roman"/>
          <w:sz w:val="24"/>
          <w:szCs w:val="24"/>
        </w:rPr>
        <w:tab/>
        <w:t>Metropolitan Statistical Area</w:t>
      </w:r>
    </w:p>
    <w:p w:rsidR="005939BA" w:rsidRPr="005F3C42" w:rsidRDefault="005939BA" w:rsidP="005939BA">
      <w:pPr>
        <w:pStyle w:val="ListParagraph"/>
        <w:ind w:left="2160" w:hanging="1440"/>
        <w:rPr>
          <w:rFonts w:ascii="Century Gothic" w:hAnsi="Century Gothic" w:cs="Times New Roman"/>
          <w:sz w:val="24"/>
          <w:szCs w:val="24"/>
        </w:rPr>
      </w:pPr>
      <w:r w:rsidRPr="005F3C42">
        <w:rPr>
          <w:rFonts w:ascii="Century Gothic" w:hAnsi="Century Gothic" w:cs="Times New Roman"/>
          <w:sz w:val="24"/>
          <w:szCs w:val="24"/>
        </w:rPr>
        <w:t>NAIC</w:t>
      </w:r>
      <w:r w:rsidRPr="005F3C42">
        <w:rPr>
          <w:rFonts w:ascii="Century Gothic" w:hAnsi="Century Gothic" w:cs="Times New Roman"/>
          <w:sz w:val="24"/>
          <w:szCs w:val="24"/>
        </w:rPr>
        <w:tab/>
        <w:t>National Association of Insurance Commissioners</w:t>
      </w:r>
    </w:p>
    <w:p w:rsidR="005939BA" w:rsidRPr="005F3C42" w:rsidRDefault="005939BA" w:rsidP="005939BA">
      <w:pPr>
        <w:pStyle w:val="ListParagraph"/>
        <w:ind w:left="2160" w:hanging="1440"/>
        <w:rPr>
          <w:rFonts w:ascii="Century Gothic" w:hAnsi="Century Gothic" w:cs="Times New Roman"/>
          <w:sz w:val="24"/>
          <w:szCs w:val="24"/>
        </w:rPr>
      </w:pPr>
      <w:r w:rsidRPr="005F3C42">
        <w:rPr>
          <w:rFonts w:ascii="Century Gothic" w:hAnsi="Century Gothic" w:cs="Times New Roman"/>
          <w:sz w:val="24"/>
          <w:szCs w:val="24"/>
        </w:rPr>
        <w:t>NCUA</w:t>
      </w:r>
      <w:r w:rsidRPr="005F3C42">
        <w:rPr>
          <w:rFonts w:ascii="Century Gothic" w:hAnsi="Century Gothic" w:cs="Times New Roman"/>
          <w:sz w:val="24"/>
          <w:szCs w:val="24"/>
        </w:rPr>
        <w:tab/>
        <w:t>National Credit Union Administration</w:t>
      </w:r>
    </w:p>
    <w:p w:rsidR="005939BA" w:rsidRPr="005F3C42" w:rsidRDefault="005939BA" w:rsidP="005939BA">
      <w:pPr>
        <w:pStyle w:val="ListParagraph"/>
        <w:ind w:left="2160" w:hanging="1440"/>
        <w:rPr>
          <w:rFonts w:ascii="Century Gothic" w:hAnsi="Century Gothic" w:cs="Times New Roman"/>
          <w:sz w:val="24"/>
          <w:szCs w:val="24"/>
        </w:rPr>
      </w:pPr>
      <w:r w:rsidRPr="005F3C42">
        <w:rPr>
          <w:rFonts w:ascii="Century Gothic" w:hAnsi="Century Gothic" w:cs="Times New Roman"/>
          <w:sz w:val="24"/>
          <w:szCs w:val="24"/>
        </w:rPr>
        <w:t>NCUSIF</w:t>
      </w:r>
      <w:r w:rsidRPr="005F3C42">
        <w:rPr>
          <w:rFonts w:ascii="Century Gothic" w:hAnsi="Century Gothic" w:cs="Times New Roman"/>
          <w:sz w:val="24"/>
          <w:szCs w:val="24"/>
        </w:rPr>
        <w:tab/>
        <w:t>National Credit Union Share Insurance Fund</w:t>
      </w:r>
    </w:p>
    <w:p w:rsidR="005939BA" w:rsidRPr="005F3C42" w:rsidRDefault="005939BA" w:rsidP="005F3C42">
      <w:pPr>
        <w:pStyle w:val="ListParagraph"/>
        <w:ind w:left="2160" w:hanging="1440"/>
        <w:rPr>
          <w:rFonts w:ascii="Century Gothic" w:hAnsi="Century Gothic" w:cs="Times New Roman"/>
          <w:sz w:val="24"/>
          <w:szCs w:val="24"/>
        </w:rPr>
      </w:pPr>
      <w:r w:rsidRPr="005F3C42">
        <w:rPr>
          <w:rFonts w:ascii="Century Gothic" w:hAnsi="Century Gothic" w:cs="Times New Roman"/>
          <w:sz w:val="24"/>
          <w:szCs w:val="24"/>
        </w:rPr>
        <w:t>NMTC</w:t>
      </w:r>
      <w:r w:rsidRPr="005F3C42">
        <w:rPr>
          <w:rFonts w:ascii="Century Gothic" w:hAnsi="Century Gothic" w:cs="Times New Roman"/>
          <w:sz w:val="24"/>
          <w:szCs w:val="24"/>
        </w:rPr>
        <w:tab/>
        <w:t>New Markets Tax Credits</w:t>
      </w:r>
    </w:p>
    <w:p w:rsidR="000754F3" w:rsidRDefault="000754F3">
      <w:pPr>
        <w:pStyle w:val="Heading1"/>
        <w:rPr>
          <w:rFonts w:ascii="Century Gothic" w:hAnsi="Century Gothic"/>
        </w:rPr>
      </w:pPr>
    </w:p>
    <w:p w:rsidR="000754F3" w:rsidRDefault="000754F3">
      <w:pPr>
        <w:pStyle w:val="Heading1"/>
        <w:rPr>
          <w:rFonts w:ascii="Century Gothic" w:hAnsi="Century Gothic"/>
        </w:rPr>
      </w:pPr>
    </w:p>
    <w:p w:rsidR="004C4E25" w:rsidRPr="004C4E25" w:rsidRDefault="004C4E25">
      <w:pPr>
        <w:pStyle w:val="Heading1"/>
        <w:rPr>
          <w:rFonts w:ascii="Century Gothic" w:hAnsi="Century Gothic"/>
        </w:rPr>
      </w:pPr>
      <w:r w:rsidRPr="003F38A3">
        <w:rPr>
          <w:rFonts w:ascii="Century Gothic" w:hAnsi="Century Gothic"/>
        </w:rPr>
        <w:t xml:space="preserve">APPENDIX </w:t>
      </w:r>
      <w:r>
        <w:rPr>
          <w:rFonts w:ascii="Century Gothic" w:hAnsi="Century Gothic"/>
        </w:rPr>
        <w:t>II</w:t>
      </w:r>
    </w:p>
    <w:p w:rsidR="00CE151F" w:rsidRPr="003F38A3" w:rsidRDefault="00CE151F" w:rsidP="00CE151F">
      <w:pPr>
        <w:pStyle w:val="BodyText"/>
        <w:spacing w:line="240" w:lineRule="auto"/>
        <w:ind w:left="1800"/>
        <w:jc w:val="left"/>
        <w:rPr>
          <w:rFonts w:ascii="Century Gothic" w:hAnsi="Century Gothic" w:cs="Arial"/>
          <w:i w:val="0"/>
          <w:sz w:val="22"/>
          <w:szCs w:val="22"/>
        </w:rPr>
      </w:pPr>
    </w:p>
    <w:p w:rsidR="007273E7" w:rsidRPr="003F38A3" w:rsidRDefault="00CE151F" w:rsidP="00643770">
      <w:pPr>
        <w:rPr>
          <w:rFonts w:ascii="Century Gothic" w:hAnsi="Century Gothic" w:cs="Times New Roman"/>
          <w:sz w:val="24"/>
        </w:rPr>
      </w:pPr>
      <w:r w:rsidRPr="003F38A3">
        <w:rPr>
          <w:rFonts w:ascii="Century Gothic" w:hAnsi="Century Gothic" w:cs="Times New Roman"/>
          <w:sz w:val="24"/>
        </w:rPr>
        <w:t>Examples and cate</w:t>
      </w:r>
      <w:r w:rsidR="00643770" w:rsidRPr="003F38A3">
        <w:rPr>
          <w:rFonts w:ascii="Century Gothic" w:hAnsi="Century Gothic" w:cs="Times New Roman"/>
          <w:sz w:val="24"/>
        </w:rPr>
        <w:t>gories list</w:t>
      </w:r>
      <w:r w:rsidR="000820FD">
        <w:rPr>
          <w:rFonts w:ascii="Century Gothic" w:hAnsi="Century Gothic" w:cs="Times New Roman"/>
          <w:sz w:val="24"/>
        </w:rPr>
        <w:t>ed</w:t>
      </w:r>
      <w:r w:rsidR="00643770" w:rsidRPr="003F38A3">
        <w:rPr>
          <w:rFonts w:ascii="Century Gothic" w:hAnsi="Century Gothic" w:cs="Times New Roman"/>
          <w:sz w:val="24"/>
        </w:rPr>
        <w:t xml:space="preserve"> under each schedule:</w:t>
      </w:r>
    </w:p>
    <w:tbl>
      <w:tblPr>
        <w:tblStyle w:val="TableGrid"/>
        <w:tblW w:w="9510" w:type="dxa"/>
        <w:jc w:val="center"/>
        <w:tblLayout w:type="fixed"/>
        <w:tblLook w:val="04A0" w:firstRow="1" w:lastRow="0" w:firstColumn="1" w:lastColumn="0" w:noHBand="0" w:noVBand="1"/>
      </w:tblPr>
      <w:tblGrid>
        <w:gridCol w:w="1278"/>
        <w:gridCol w:w="3038"/>
        <w:gridCol w:w="1747"/>
        <w:gridCol w:w="1602"/>
        <w:gridCol w:w="1845"/>
      </w:tblGrid>
      <w:tr w:rsidR="00B2576B" w:rsidRPr="00A320B6" w:rsidTr="005F3C42">
        <w:trPr>
          <w:jc w:val="center"/>
        </w:trPr>
        <w:tc>
          <w:tcPr>
            <w:tcW w:w="1278" w:type="dxa"/>
            <w:vAlign w:val="bottom"/>
          </w:tcPr>
          <w:p w:rsidR="00B2576B" w:rsidRPr="005F3C42" w:rsidRDefault="00B2576B" w:rsidP="00971951">
            <w:pPr>
              <w:pStyle w:val="ListParagraph"/>
              <w:ind w:left="0"/>
              <w:jc w:val="center"/>
              <w:rPr>
                <w:rFonts w:ascii="Century Gothic" w:hAnsi="Century Gothic" w:cs="Times New Roman"/>
                <w:b/>
              </w:rPr>
            </w:pPr>
            <w:r w:rsidRPr="005F3C42">
              <w:rPr>
                <w:rFonts w:ascii="Century Gothic" w:hAnsi="Century Gothic" w:cs="Times New Roman"/>
                <w:b/>
              </w:rPr>
              <w:t>Schedule Name</w:t>
            </w:r>
          </w:p>
        </w:tc>
        <w:tc>
          <w:tcPr>
            <w:tcW w:w="3038" w:type="dxa"/>
            <w:vAlign w:val="bottom"/>
          </w:tcPr>
          <w:p w:rsidR="00B2576B" w:rsidRPr="005F3C42" w:rsidRDefault="00B2576B" w:rsidP="005F3C42">
            <w:pPr>
              <w:pStyle w:val="ListParagraph"/>
              <w:ind w:left="0"/>
              <w:jc w:val="center"/>
              <w:rPr>
                <w:rFonts w:ascii="Century Gothic" w:hAnsi="Century Gothic" w:cs="Times New Roman"/>
                <w:b/>
              </w:rPr>
            </w:pPr>
            <w:r w:rsidRPr="005F3C42">
              <w:rPr>
                <w:rFonts w:ascii="Century Gothic" w:hAnsi="Century Gothic" w:cs="Times New Roman"/>
                <w:b/>
              </w:rPr>
              <w:t>Definition</w:t>
            </w:r>
          </w:p>
        </w:tc>
        <w:tc>
          <w:tcPr>
            <w:tcW w:w="1747" w:type="dxa"/>
            <w:vAlign w:val="bottom"/>
          </w:tcPr>
          <w:p w:rsidR="00B2576B" w:rsidRPr="005F3C42" w:rsidRDefault="00B2576B" w:rsidP="005F3C42">
            <w:pPr>
              <w:pStyle w:val="ListParagraph"/>
              <w:ind w:left="0"/>
              <w:jc w:val="center"/>
              <w:rPr>
                <w:rFonts w:ascii="Century Gothic" w:hAnsi="Century Gothic" w:cs="Times New Roman"/>
                <w:b/>
              </w:rPr>
            </w:pPr>
            <w:r w:rsidRPr="005F3C42">
              <w:rPr>
                <w:rFonts w:ascii="Century Gothic" w:hAnsi="Century Gothic" w:cs="Times New Roman"/>
                <w:b/>
              </w:rPr>
              <w:t>1</w:t>
            </w:r>
            <w:r w:rsidRPr="005F3C42">
              <w:rPr>
                <w:rFonts w:ascii="Century Gothic" w:hAnsi="Century Gothic" w:cs="Times New Roman"/>
                <w:b/>
                <w:vertAlign w:val="superscript"/>
              </w:rPr>
              <w:t>st</w:t>
            </w:r>
            <w:r w:rsidRPr="005F3C42">
              <w:rPr>
                <w:rFonts w:ascii="Century Gothic" w:hAnsi="Century Gothic" w:cs="Times New Roman"/>
                <w:b/>
              </w:rPr>
              <w:t xml:space="preserve"> Tier</w:t>
            </w:r>
          </w:p>
        </w:tc>
        <w:tc>
          <w:tcPr>
            <w:tcW w:w="1602" w:type="dxa"/>
            <w:vAlign w:val="bottom"/>
          </w:tcPr>
          <w:p w:rsidR="00B2576B" w:rsidRPr="005F3C42" w:rsidRDefault="00B2576B" w:rsidP="005F3C42">
            <w:pPr>
              <w:pStyle w:val="ListParagraph"/>
              <w:ind w:left="0"/>
              <w:jc w:val="center"/>
              <w:rPr>
                <w:rFonts w:ascii="Century Gothic" w:hAnsi="Century Gothic" w:cs="Times New Roman"/>
                <w:b/>
              </w:rPr>
            </w:pPr>
            <w:r w:rsidRPr="005F3C42">
              <w:rPr>
                <w:rFonts w:ascii="Century Gothic" w:hAnsi="Century Gothic" w:cs="Times New Roman"/>
                <w:b/>
              </w:rPr>
              <w:t>2</w:t>
            </w:r>
            <w:r w:rsidRPr="005F3C42">
              <w:rPr>
                <w:rFonts w:ascii="Century Gothic" w:hAnsi="Century Gothic" w:cs="Times New Roman"/>
                <w:b/>
                <w:vertAlign w:val="superscript"/>
              </w:rPr>
              <w:t>nd</w:t>
            </w:r>
            <w:r w:rsidRPr="005F3C42">
              <w:rPr>
                <w:rFonts w:ascii="Century Gothic" w:hAnsi="Century Gothic" w:cs="Times New Roman"/>
                <w:b/>
              </w:rPr>
              <w:t xml:space="preserve"> Tier</w:t>
            </w:r>
          </w:p>
        </w:tc>
        <w:tc>
          <w:tcPr>
            <w:tcW w:w="1845" w:type="dxa"/>
            <w:vAlign w:val="bottom"/>
          </w:tcPr>
          <w:p w:rsidR="00B2576B" w:rsidRPr="005F3C42" w:rsidRDefault="00B2576B" w:rsidP="005F3C42">
            <w:pPr>
              <w:pStyle w:val="ListParagraph"/>
              <w:ind w:left="0"/>
              <w:jc w:val="center"/>
              <w:rPr>
                <w:rFonts w:ascii="Century Gothic" w:hAnsi="Century Gothic" w:cs="Times New Roman"/>
                <w:b/>
              </w:rPr>
            </w:pPr>
            <w:r w:rsidRPr="005F3C42">
              <w:rPr>
                <w:rFonts w:ascii="Century Gothic" w:hAnsi="Century Gothic" w:cs="Times New Roman"/>
                <w:b/>
              </w:rPr>
              <w:t>3</w:t>
            </w:r>
            <w:r w:rsidRPr="005F3C42">
              <w:rPr>
                <w:rFonts w:ascii="Century Gothic" w:hAnsi="Century Gothic" w:cs="Times New Roman"/>
                <w:b/>
                <w:vertAlign w:val="superscript"/>
              </w:rPr>
              <w:t>rd</w:t>
            </w:r>
            <w:r w:rsidRPr="005F3C42">
              <w:rPr>
                <w:rFonts w:ascii="Century Gothic" w:hAnsi="Century Gothic" w:cs="Times New Roman"/>
                <w:b/>
              </w:rPr>
              <w:t xml:space="preserve"> Tier</w:t>
            </w:r>
          </w:p>
        </w:tc>
      </w:tr>
      <w:tr w:rsidR="00B2576B" w:rsidRPr="003F38A3" w:rsidTr="00451F40">
        <w:trPr>
          <w:trHeight w:val="535"/>
          <w:jc w:val="center"/>
        </w:trPr>
        <w:tc>
          <w:tcPr>
            <w:tcW w:w="1278" w:type="dxa"/>
            <w:vMerge w:val="restart"/>
          </w:tcPr>
          <w:p w:rsidR="00B2576B" w:rsidRPr="003F38A3" w:rsidRDefault="00B2576B" w:rsidP="00971951">
            <w:pPr>
              <w:pStyle w:val="ListParagraph"/>
              <w:ind w:left="0"/>
              <w:jc w:val="center"/>
              <w:rPr>
                <w:rFonts w:ascii="Century Gothic" w:hAnsi="Century Gothic" w:cs="Times New Roman"/>
              </w:rPr>
            </w:pPr>
            <w:r w:rsidRPr="003F38A3">
              <w:rPr>
                <w:rFonts w:ascii="Century Gothic" w:hAnsi="Century Gothic" w:cs="Times New Roman"/>
              </w:rPr>
              <w:t>Schedule A</w:t>
            </w:r>
          </w:p>
        </w:tc>
        <w:tc>
          <w:tcPr>
            <w:tcW w:w="3038" w:type="dxa"/>
            <w:vMerge w:val="restart"/>
          </w:tcPr>
          <w:p w:rsidR="00B2576B" w:rsidRPr="003F38A3" w:rsidRDefault="00B2576B" w:rsidP="00451F40">
            <w:pPr>
              <w:rPr>
                <w:rFonts w:ascii="Century Gothic" w:hAnsi="Century Gothic" w:cs="Times New Roman"/>
              </w:rPr>
            </w:pPr>
            <w:r w:rsidRPr="003F38A3">
              <w:rPr>
                <w:rFonts w:ascii="Century Gothic" w:hAnsi="Century Gothic" w:cs="Times New Roman"/>
              </w:rPr>
              <w:t>Real estate that has its primary purpose of community development or that directly benefits LMI individuals, families or communities.</w:t>
            </w:r>
          </w:p>
        </w:tc>
        <w:tc>
          <w:tcPr>
            <w:tcW w:w="1747" w:type="dxa"/>
            <w:vMerge w:val="restart"/>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Real Estate</w:t>
            </w:r>
          </w:p>
        </w:tc>
        <w:tc>
          <w:tcPr>
            <w:tcW w:w="1602"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Residential real estate</w:t>
            </w:r>
          </w:p>
        </w:tc>
        <w:tc>
          <w:tcPr>
            <w:tcW w:w="1845" w:type="dxa"/>
            <w:vMerge w:val="restart"/>
          </w:tcPr>
          <w:p w:rsidR="00B2576B" w:rsidRPr="003F38A3" w:rsidRDefault="00B2576B" w:rsidP="00451F40">
            <w:pPr>
              <w:pStyle w:val="ListParagraph"/>
              <w:ind w:left="0"/>
              <w:rPr>
                <w:rFonts w:ascii="Century Gothic" w:hAnsi="Century Gothic" w:cs="Times New Roman"/>
              </w:rPr>
            </w:pPr>
          </w:p>
        </w:tc>
      </w:tr>
      <w:tr w:rsidR="00B2576B" w:rsidRPr="003F38A3" w:rsidTr="00451F40">
        <w:trPr>
          <w:trHeight w:val="535"/>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tcPr>
          <w:p w:rsidR="00B2576B" w:rsidRPr="003F38A3" w:rsidRDefault="00B2576B" w:rsidP="00451F40">
            <w:pPr>
              <w:pStyle w:val="ListParagraph"/>
              <w:ind w:left="0"/>
              <w:rPr>
                <w:rFonts w:ascii="Century Gothic" w:hAnsi="Century Gothic" w:cs="Times New Roman"/>
              </w:rPr>
            </w:pPr>
          </w:p>
        </w:tc>
        <w:tc>
          <w:tcPr>
            <w:tcW w:w="1602"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Industrial real estate</w:t>
            </w:r>
          </w:p>
        </w:tc>
        <w:tc>
          <w:tcPr>
            <w:tcW w:w="1845" w:type="dxa"/>
            <w:vMerge/>
          </w:tcPr>
          <w:p w:rsidR="00B2576B" w:rsidRPr="003F38A3" w:rsidRDefault="00B2576B" w:rsidP="00451F40">
            <w:pPr>
              <w:pStyle w:val="ListParagraph"/>
              <w:ind w:left="0"/>
              <w:rPr>
                <w:rFonts w:ascii="Century Gothic" w:hAnsi="Century Gothic" w:cs="Times New Roman"/>
              </w:rPr>
            </w:pPr>
          </w:p>
        </w:tc>
      </w:tr>
      <w:tr w:rsidR="00B2576B" w:rsidRPr="003F38A3" w:rsidTr="00451F40">
        <w:trPr>
          <w:trHeight w:val="208"/>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tcPr>
          <w:p w:rsidR="00B2576B" w:rsidRPr="003F38A3" w:rsidRDefault="00B2576B" w:rsidP="00451F40">
            <w:pPr>
              <w:pStyle w:val="ListParagraph"/>
              <w:ind w:left="0"/>
              <w:rPr>
                <w:rFonts w:ascii="Century Gothic" w:hAnsi="Century Gothic" w:cs="Times New Roman"/>
              </w:rPr>
            </w:pPr>
          </w:p>
        </w:tc>
        <w:tc>
          <w:tcPr>
            <w:tcW w:w="1602"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Commercial real estate</w:t>
            </w:r>
          </w:p>
        </w:tc>
        <w:tc>
          <w:tcPr>
            <w:tcW w:w="1845" w:type="dxa"/>
            <w:vMerge/>
          </w:tcPr>
          <w:p w:rsidR="00B2576B" w:rsidRPr="003F38A3" w:rsidRDefault="00B2576B" w:rsidP="00451F40">
            <w:pPr>
              <w:pStyle w:val="ListParagraph"/>
              <w:ind w:left="0"/>
              <w:rPr>
                <w:rFonts w:ascii="Century Gothic" w:hAnsi="Century Gothic" w:cs="Times New Roman"/>
              </w:rPr>
            </w:pPr>
          </w:p>
        </w:tc>
      </w:tr>
      <w:tr w:rsidR="00B2576B" w:rsidRPr="003F38A3" w:rsidTr="00451F40">
        <w:trPr>
          <w:trHeight w:val="20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tcPr>
          <w:p w:rsidR="00B2576B" w:rsidRPr="003F38A3" w:rsidRDefault="00B2576B" w:rsidP="00451F40">
            <w:pPr>
              <w:pStyle w:val="ListParagraph"/>
              <w:ind w:left="0"/>
              <w:rPr>
                <w:rFonts w:ascii="Century Gothic" w:hAnsi="Century Gothic" w:cs="Times New Roman"/>
              </w:rPr>
            </w:pPr>
          </w:p>
        </w:tc>
        <w:tc>
          <w:tcPr>
            <w:tcW w:w="1602"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Corporate real estate</w:t>
            </w:r>
          </w:p>
        </w:tc>
        <w:tc>
          <w:tcPr>
            <w:tcW w:w="1845" w:type="dxa"/>
            <w:vMerge/>
          </w:tcPr>
          <w:p w:rsidR="00B2576B" w:rsidRPr="003F38A3" w:rsidRDefault="00B2576B" w:rsidP="00451F40">
            <w:pPr>
              <w:pStyle w:val="ListParagraph"/>
              <w:ind w:left="0"/>
              <w:rPr>
                <w:rFonts w:ascii="Century Gothic" w:hAnsi="Century Gothic" w:cs="Times New Roman"/>
              </w:rPr>
            </w:pPr>
          </w:p>
        </w:tc>
      </w:tr>
      <w:tr w:rsidR="00B2576B" w:rsidRPr="003F38A3" w:rsidTr="00451F40">
        <w:trPr>
          <w:trHeight w:val="1478"/>
          <w:jc w:val="center"/>
        </w:trPr>
        <w:tc>
          <w:tcPr>
            <w:tcW w:w="1278" w:type="dxa"/>
            <w:vMerge w:val="restart"/>
          </w:tcPr>
          <w:p w:rsidR="00B2576B" w:rsidRPr="003F38A3" w:rsidRDefault="00B2576B" w:rsidP="00971951">
            <w:pPr>
              <w:pStyle w:val="ListParagraph"/>
              <w:ind w:left="0"/>
              <w:jc w:val="center"/>
              <w:rPr>
                <w:rFonts w:ascii="Century Gothic" w:hAnsi="Century Gothic" w:cs="Times New Roman"/>
              </w:rPr>
            </w:pPr>
            <w:r w:rsidRPr="003F38A3">
              <w:rPr>
                <w:rFonts w:ascii="Century Gothic" w:hAnsi="Century Gothic" w:cs="Times New Roman"/>
              </w:rPr>
              <w:t>Schedule B</w:t>
            </w:r>
          </w:p>
        </w:tc>
        <w:tc>
          <w:tcPr>
            <w:tcW w:w="3038" w:type="dxa"/>
            <w:vMerge w:val="restart"/>
          </w:tcPr>
          <w:p w:rsidR="00B2576B" w:rsidRPr="003F38A3" w:rsidRDefault="00B2576B" w:rsidP="00451F40">
            <w:pPr>
              <w:rPr>
                <w:rFonts w:ascii="Century Gothic" w:hAnsi="Century Gothic" w:cs="Times New Roman"/>
              </w:rPr>
            </w:pPr>
            <w:r w:rsidRPr="003F38A3">
              <w:rPr>
                <w:rFonts w:ascii="Century Gothic" w:hAnsi="Century Gothic" w:cs="Times New Roman"/>
              </w:rPr>
              <w:t>Mortgage Loans. Most investments reported in this category are commercial mortgages on property located in LMI census tracts. However, residential mortgages where the housing provided would qualify as affordable housing, as defined, would also qualify.</w:t>
            </w:r>
          </w:p>
        </w:tc>
        <w:tc>
          <w:tcPr>
            <w:tcW w:w="1747"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Commercial Mortgage</w:t>
            </w:r>
          </w:p>
        </w:tc>
        <w:tc>
          <w:tcPr>
            <w:tcW w:w="1602" w:type="dxa"/>
          </w:tcPr>
          <w:p w:rsidR="00B2576B" w:rsidRPr="003F38A3" w:rsidRDefault="00B2576B" w:rsidP="00451F40">
            <w:pPr>
              <w:pStyle w:val="ListParagraph"/>
              <w:ind w:left="0"/>
              <w:rPr>
                <w:rFonts w:ascii="Century Gothic" w:hAnsi="Century Gothic" w:cs="Times New Roman"/>
              </w:rPr>
            </w:pPr>
          </w:p>
        </w:tc>
        <w:tc>
          <w:tcPr>
            <w:tcW w:w="1845" w:type="dxa"/>
          </w:tcPr>
          <w:p w:rsidR="00B2576B" w:rsidRPr="003F38A3" w:rsidRDefault="00B2576B" w:rsidP="00451F40">
            <w:pPr>
              <w:pStyle w:val="ListParagraph"/>
              <w:ind w:left="0"/>
              <w:rPr>
                <w:rFonts w:ascii="Century Gothic" w:hAnsi="Century Gothic" w:cs="Times New Roman"/>
              </w:rPr>
            </w:pPr>
          </w:p>
        </w:tc>
      </w:tr>
      <w:tr w:rsidR="00B2576B" w:rsidRPr="003F38A3" w:rsidTr="00451F40">
        <w:trPr>
          <w:trHeight w:val="147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Residential Mortgage</w:t>
            </w:r>
          </w:p>
        </w:tc>
        <w:tc>
          <w:tcPr>
            <w:tcW w:w="1602" w:type="dxa"/>
          </w:tcPr>
          <w:p w:rsidR="00B2576B" w:rsidRPr="003F38A3" w:rsidRDefault="00B2576B" w:rsidP="00451F40">
            <w:pPr>
              <w:pStyle w:val="ListParagraph"/>
              <w:ind w:left="0"/>
              <w:rPr>
                <w:rFonts w:ascii="Century Gothic" w:hAnsi="Century Gothic" w:cs="Times New Roman"/>
              </w:rPr>
            </w:pPr>
          </w:p>
        </w:tc>
        <w:tc>
          <w:tcPr>
            <w:tcW w:w="1845" w:type="dxa"/>
          </w:tcPr>
          <w:p w:rsidR="00B2576B" w:rsidRPr="003F38A3" w:rsidRDefault="00B2576B" w:rsidP="00451F40">
            <w:pPr>
              <w:pStyle w:val="ListParagraph"/>
              <w:ind w:left="0"/>
              <w:rPr>
                <w:rFonts w:ascii="Century Gothic" w:hAnsi="Century Gothic" w:cs="Times New Roman"/>
              </w:rPr>
            </w:pPr>
          </w:p>
        </w:tc>
      </w:tr>
      <w:tr w:rsidR="00B2576B" w:rsidRPr="003F38A3" w:rsidTr="00451F40">
        <w:trPr>
          <w:trHeight w:val="269"/>
          <w:jc w:val="center"/>
        </w:trPr>
        <w:tc>
          <w:tcPr>
            <w:tcW w:w="1278" w:type="dxa"/>
            <w:vMerge w:val="restart"/>
          </w:tcPr>
          <w:p w:rsidR="00B2576B" w:rsidRPr="003F38A3" w:rsidRDefault="00B2576B" w:rsidP="00971951">
            <w:pPr>
              <w:pStyle w:val="ListParagraph"/>
              <w:ind w:left="0"/>
              <w:jc w:val="center"/>
              <w:rPr>
                <w:rFonts w:ascii="Century Gothic" w:hAnsi="Century Gothic" w:cs="Times New Roman"/>
              </w:rPr>
            </w:pPr>
            <w:r w:rsidRPr="003F38A3">
              <w:rPr>
                <w:rFonts w:ascii="Century Gothic" w:hAnsi="Century Gothic" w:cs="Times New Roman"/>
              </w:rPr>
              <w:t>Schedule BA</w:t>
            </w:r>
          </w:p>
        </w:tc>
        <w:tc>
          <w:tcPr>
            <w:tcW w:w="3038" w:type="dxa"/>
            <w:vMerge w:val="restart"/>
          </w:tcPr>
          <w:p w:rsidR="00B2576B" w:rsidRPr="003F38A3" w:rsidRDefault="00B2576B" w:rsidP="00451F40">
            <w:pPr>
              <w:rPr>
                <w:rFonts w:ascii="Century Gothic" w:hAnsi="Century Gothic" w:cs="Times New Roman"/>
              </w:rPr>
            </w:pPr>
            <w:r w:rsidRPr="003F38A3">
              <w:rPr>
                <w:rFonts w:ascii="Century Gothic" w:hAnsi="Century Gothic" w:cs="Times New Roman"/>
              </w:rPr>
              <w:t xml:space="preserve">Other Long-Term Invested Assets Owned. The California portions of all LIHTCs and NMTCs qualify. Other qualifying investments include Private Equity, Joint Ventures, limited partnerships and limited liability company investments in funds that provide capital for community development purposes benefiting California LMI people or communities. </w:t>
            </w:r>
          </w:p>
        </w:tc>
        <w:tc>
          <w:tcPr>
            <w:tcW w:w="1747" w:type="dxa"/>
            <w:vMerge w:val="restart"/>
          </w:tcPr>
          <w:p w:rsidR="00B2576B" w:rsidRPr="003F38A3" w:rsidRDefault="00B2576B" w:rsidP="00451F40">
            <w:pPr>
              <w:rPr>
                <w:rFonts w:ascii="Century Gothic" w:hAnsi="Century Gothic" w:cs="Times New Roman"/>
                <w:color w:val="000000"/>
              </w:rPr>
            </w:pP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Limited Partnerships</w:t>
            </w:r>
          </w:p>
          <w:p w:rsidR="00B2576B" w:rsidRPr="003F38A3" w:rsidRDefault="00B2576B" w:rsidP="00451F40">
            <w:pPr>
              <w:rPr>
                <w:rFonts w:ascii="Century Gothic" w:hAnsi="Century Gothic" w:cs="Times New Roman"/>
                <w:color w:val="000000"/>
              </w:rPr>
            </w:pP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Or</w:t>
            </w:r>
          </w:p>
          <w:p w:rsidR="00B2576B" w:rsidRPr="003F38A3" w:rsidRDefault="00B2576B" w:rsidP="00451F40">
            <w:pPr>
              <w:rPr>
                <w:rFonts w:ascii="Century Gothic" w:hAnsi="Century Gothic" w:cs="Times New Roman"/>
                <w:color w:val="000000"/>
              </w:rPr>
            </w:pPr>
          </w:p>
          <w:p w:rsidR="00B2576B" w:rsidRPr="003F38A3" w:rsidRDefault="00BC29B5" w:rsidP="00451F40">
            <w:pPr>
              <w:rPr>
                <w:rFonts w:ascii="Century Gothic" w:hAnsi="Century Gothic" w:cs="Times New Roman"/>
                <w:color w:val="000000"/>
              </w:rPr>
            </w:pPr>
            <w:r>
              <w:rPr>
                <w:rFonts w:ascii="Century Gothic" w:hAnsi="Century Gothic" w:cs="Times New Roman"/>
                <w:color w:val="000000"/>
              </w:rPr>
              <w:t>Limited Liability C</w:t>
            </w:r>
            <w:r w:rsidR="00B2576B" w:rsidRPr="003F38A3">
              <w:rPr>
                <w:rFonts w:ascii="Century Gothic" w:hAnsi="Century Gothic" w:cs="Times New Roman"/>
                <w:color w:val="000000"/>
              </w:rPr>
              <w:t>ompany</w:t>
            </w:r>
          </w:p>
          <w:p w:rsidR="00B2576B" w:rsidRPr="003F38A3" w:rsidRDefault="00B2576B" w:rsidP="00451F40">
            <w:pPr>
              <w:rPr>
                <w:rFonts w:ascii="Century Gothic" w:hAnsi="Century Gothic" w:cs="Times New Roman"/>
                <w:color w:val="000000"/>
              </w:rPr>
            </w:pP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Or</w:t>
            </w:r>
          </w:p>
          <w:p w:rsidR="00B2576B" w:rsidRPr="003F38A3" w:rsidRDefault="00B2576B" w:rsidP="00451F40">
            <w:pPr>
              <w:rPr>
                <w:rFonts w:ascii="Century Gothic" w:hAnsi="Century Gothic" w:cs="Times New Roman"/>
                <w:color w:val="000000"/>
              </w:rPr>
            </w:pP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Joint Venture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w:t>
            </w:r>
          </w:p>
        </w:tc>
        <w:tc>
          <w:tcPr>
            <w:tcW w:w="1602" w:type="dxa"/>
            <w:vMerge w:val="restart"/>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Private Equity Funds</w:t>
            </w: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Venture capital funds</w:t>
            </w:r>
          </w:p>
        </w:tc>
      </w:tr>
      <w:tr w:rsidR="00B2576B" w:rsidRPr="003F38A3" w:rsidTr="00451F40">
        <w:trPr>
          <w:trHeight w:val="390"/>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Merge/>
            <w:vAlign w:val="center"/>
          </w:tcPr>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 xml:space="preserve">Mezzanine financing </w:t>
            </w:r>
          </w:p>
        </w:tc>
      </w:tr>
      <w:tr w:rsidR="00B2576B" w:rsidRPr="003F38A3" w:rsidTr="00451F40">
        <w:trPr>
          <w:trHeight w:val="135"/>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Merge/>
            <w:vAlign w:val="center"/>
          </w:tcPr>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Leveraged buyout (LBO) funds</w:t>
            </w:r>
          </w:p>
        </w:tc>
      </w:tr>
      <w:tr w:rsidR="00B2576B" w:rsidRPr="003F38A3" w:rsidTr="00451F40">
        <w:trPr>
          <w:trHeight w:val="135"/>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Merge/>
            <w:vAlign w:val="center"/>
          </w:tcPr>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Fund of funds</w:t>
            </w:r>
          </w:p>
        </w:tc>
      </w:tr>
      <w:tr w:rsidR="00B2576B" w:rsidRPr="003F38A3" w:rsidTr="00451F40">
        <w:trPr>
          <w:trHeight w:val="135"/>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Merge/>
            <w:vAlign w:val="center"/>
          </w:tcPr>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Real Estate Funds</w:t>
            </w:r>
          </w:p>
        </w:tc>
      </w:tr>
      <w:tr w:rsidR="00B2576B" w:rsidRPr="003F38A3" w:rsidTr="00451F40">
        <w:trPr>
          <w:trHeight w:val="208"/>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Merge/>
            <w:vAlign w:val="center"/>
          </w:tcPr>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Other liquid asset classes</w:t>
            </w:r>
          </w:p>
        </w:tc>
      </w:tr>
      <w:tr w:rsidR="00B2576B" w:rsidRPr="003F38A3" w:rsidTr="00451F40">
        <w:trPr>
          <w:trHeight w:val="20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Merge/>
            <w:vAlign w:val="center"/>
          </w:tcPr>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r w:rsidRPr="003F38A3">
              <w:rPr>
                <w:rFonts w:ascii="Century Gothic" w:hAnsi="Century Gothic" w:cs="Times New Roman"/>
                <w:color w:val="000000"/>
              </w:rPr>
              <w:t>Distressed debt funds</w:t>
            </w:r>
          </w:p>
        </w:tc>
      </w:tr>
      <w:tr w:rsidR="00B2576B" w:rsidRPr="003F38A3" w:rsidTr="00451F40">
        <w:trPr>
          <w:trHeight w:val="55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rPr>
                <w:rFonts w:ascii="Century Gothic" w:hAnsi="Century Gothic" w:cs="Times New Roman"/>
              </w:rPr>
            </w:pPr>
          </w:p>
        </w:tc>
        <w:tc>
          <w:tcPr>
            <w:tcW w:w="1747" w:type="dxa"/>
            <w:vMerge/>
            <w:vAlign w:val="center"/>
          </w:tcPr>
          <w:p w:rsidR="00B2576B" w:rsidRPr="003F38A3" w:rsidRDefault="00B2576B" w:rsidP="00451F40">
            <w:pPr>
              <w:rPr>
                <w:rFonts w:ascii="Century Gothic" w:hAnsi="Century Gothic" w:cs="Times New Roman"/>
                <w:color w:val="000000"/>
              </w:rPr>
            </w:pPr>
          </w:p>
        </w:tc>
        <w:tc>
          <w:tcPr>
            <w:tcW w:w="1602" w:type="dxa"/>
            <w:vAlign w:val="center"/>
          </w:tcPr>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Hedge Funds</w:t>
            </w:r>
          </w:p>
          <w:p w:rsidR="00B2576B" w:rsidRPr="003F38A3" w:rsidRDefault="00B2576B" w:rsidP="00451F40">
            <w:pPr>
              <w:ind w:right="-18"/>
              <w:rPr>
                <w:rFonts w:ascii="Century Gothic" w:hAnsi="Century Gothic" w:cs="Times New Roman"/>
                <w:color w:val="000000"/>
              </w:rPr>
            </w:pPr>
          </w:p>
        </w:tc>
        <w:tc>
          <w:tcPr>
            <w:tcW w:w="1845" w:type="dxa"/>
            <w:vAlign w:val="center"/>
          </w:tcPr>
          <w:p w:rsidR="00B2576B" w:rsidRPr="003F38A3" w:rsidRDefault="00B2576B" w:rsidP="00451F40">
            <w:pPr>
              <w:ind w:right="-18"/>
              <w:rPr>
                <w:rFonts w:ascii="Century Gothic" w:hAnsi="Century Gothic" w:cs="Times New Roman"/>
                <w:color w:val="000000"/>
              </w:rPr>
            </w:pPr>
          </w:p>
        </w:tc>
      </w:tr>
      <w:tr w:rsidR="00B2576B" w:rsidRPr="003F38A3" w:rsidTr="00451F40">
        <w:trPr>
          <w:trHeight w:val="270"/>
          <w:jc w:val="center"/>
        </w:trPr>
        <w:tc>
          <w:tcPr>
            <w:tcW w:w="1278" w:type="dxa"/>
            <w:vMerge w:val="restart"/>
          </w:tcPr>
          <w:p w:rsidR="00B2576B" w:rsidRPr="003F38A3" w:rsidRDefault="00B2576B" w:rsidP="00971951">
            <w:pPr>
              <w:pStyle w:val="ListParagraph"/>
              <w:ind w:left="0"/>
              <w:jc w:val="center"/>
              <w:rPr>
                <w:rFonts w:ascii="Century Gothic" w:hAnsi="Century Gothic" w:cs="Times New Roman"/>
              </w:rPr>
            </w:pPr>
            <w:r w:rsidRPr="003F38A3">
              <w:rPr>
                <w:rFonts w:ascii="Century Gothic" w:hAnsi="Century Gothic" w:cs="Times New Roman"/>
              </w:rPr>
              <w:t>Schedule D</w:t>
            </w:r>
          </w:p>
        </w:tc>
        <w:tc>
          <w:tcPr>
            <w:tcW w:w="3038" w:type="dxa"/>
            <w:vMerge w:val="restart"/>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All Long-Term Bonds and Stocks Owned</w:t>
            </w:r>
          </w:p>
        </w:tc>
        <w:tc>
          <w:tcPr>
            <w:tcW w:w="1747" w:type="dxa"/>
          </w:tcPr>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 xml:space="preserve">Municipal Bonds  </w:t>
            </w:r>
          </w:p>
        </w:tc>
        <w:tc>
          <w:tcPr>
            <w:tcW w:w="1602" w:type="dxa"/>
            <w:vMerge w:val="restart"/>
          </w:tcPr>
          <w:p w:rsidR="00B2576B" w:rsidRPr="003F38A3" w:rsidRDefault="00B2576B" w:rsidP="00451F40">
            <w:pPr>
              <w:rPr>
                <w:rFonts w:ascii="Century Gothic" w:hAnsi="Century Gothic" w:cs="Times New Roman"/>
                <w:color w:val="000000"/>
              </w:rPr>
            </w:pPr>
          </w:p>
        </w:tc>
        <w:tc>
          <w:tcPr>
            <w:tcW w:w="1845" w:type="dxa"/>
            <w:vMerge w:val="restart"/>
            <w:vAlign w:val="center"/>
          </w:tcPr>
          <w:p w:rsidR="00B2576B" w:rsidRPr="003F38A3" w:rsidRDefault="00B2576B" w:rsidP="00451F40">
            <w:pPr>
              <w:jc w:val="center"/>
              <w:rPr>
                <w:rFonts w:ascii="Century Gothic" w:hAnsi="Century Gothic" w:cs="Times New Roman"/>
                <w:color w:val="000000"/>
              </w:rPr>
            </w:pPr>
            <w:r w:rsidRPr="003F38A3">
              <w:rPr>
                <w:rFonts w:ascii="Century Gothic" w:hAnsi="Century Gothic" w:cs="Times New Roman"/>
                <w:color w:val="000000"/>
              </w:rPr>
              <w:t> </w:t>
            </w:r>
          </w:p>
        </w:tc>
      </w:tr>
      <w:tr w:rsidR="00B2576B" w:rsidRPr="003F38A3" w:rsidTr="00451F40">
        <w:trPr>
          <w:trHeight w:val="6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pStyle w:val="ListParagraph"/>
              <w:ind w:left="0"/>
              <w:rPr>
                <w:rFonts w:ascii="Century Gothic" w:hAnsi="Century Gothic" w:cs="Times New Roman"/>
              </w:rPr>
            </w:pPr>
          </w:p>
        </w:tc>
        <w:tc>
          <w:tcPr>
            <w:tcW w:w="1747" w:type="dxa"/>
          </w:tcPr>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Other Bonds, Notes and Debt Obligations</w:t>
            </w:r>
          </w:p>
        </w:tc>
        <w:tc>
          <w:tcPr>
            <w:tcW w:w="1602" w:type="dxa"/>
            <w:vMerge/>
          </w:tcPr>
          <w:p w:rsidR="00B2576B" w:rsidRPr="003F38A3" w:rsidRDefault="00B2576B" w:rsidP="00451F40">
            <w:pPr>
              <w:rPr>
                <w:rFonts w:ascii="Century Gothic" w:hAnsi="Century Gothic" w:cs="Times New Roman"/>
                <w:color w:val="000000"/>
              </w:rPr>
            </w:pPr>
          </w:p>
        </w:tc>
        <w:tc>
          <w:tcPr>
            <w:tcW w:w="1845" w:type="dxa"/>
            <w:vMerge/>
            <w:vAlign w:val="center"/>
          </w:tcPr>
          <w:p w:rsidR="00B2576B" w:rsidRPr="003F38A3" w:rsidRDefault="00B2576B" w:rsidP="00451F40">
            <w:pPr>
              <w:jc w:val="center"/>
              <w:rPr>
                <w:rFonts w:ascii="Century Gothic" w:hAnsi="Century Gothic" w:cs="Times New Roman"/>
                <w:color w:val="000000"/>
              </w:rPr>
            </w:pPr>
          </w:p>
        </w:tc>
      </w:tr>
      <w:tr w:rsidR="00B2576B" w:rsidRPr="003F38A3" w:rsidTr="00451F40">
        <w:trPr>
          <w:trHeight w:val="6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pStyle w:val="ListParagraph"/>
              <w:ind w:left="0"/>
              <w:rPr>
                <w:rFonts w:ascii="Century Gothic" w:hAnsi="Century Gothic" w:cs="Times New Roman"/>
              </w:rPr>
            </w:pPr>
          </w:p>
        </w:tc>
        <w:tc>
          <w:tcPr>
            <w:tcW w:w="1747" w:type="dxa"/>
          </w:tcPr>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Certificates of Deposit</w:t>
            </w:r>
          </w:p>
        </w:tc>
        <w:tc>
          <w:tcPr>
            <w:tcW w:w="1602" w:type="dxa"/>
            <w:vMerge/>
          </w:tcPr>
          <w:p w:rsidR="00B2576B" w:rsidRPr="003F38A3" w:rsidRDefault="00B2576B" w:rsidP="00451F40">
            <w:pPr>
              <w:rPr>
                <w:rFonts w:ascii="Century Gothic" w:hAnsi="Century Gothic" w:cs="Times New Roman"/>
                <w:color w:val="000000"/>
              </w:rPr>
            </w:pPr>
          </w:p>
        </w:tc>
        <w:tc>
          <w:tcPr>
            <w:tcW w:w="1845" w:type="dxa"/>
            <w:vMerge/>
            <w:vAlign w:val="center"/>
          </w:tcPr>
          <w:p w:rsidR="00B2576B" w:rsidRPr="003F38A3" w:rsidRDefault="00B2576B" w:rsidP="00451F40">
            <w:pPr>
              <w:jc w:val="center"/>
              <w:rPr>
                <w:rFonts w:ascii="Century Gothic" w:hAnsi="Century Gothic" w:cs="Times New Roman"/>
                <w:color w:val="000000"/>
              </w:rPr>
            </w:pPr>
          </w:p>
        </w:tc>
      </w:tr>
      <w:tr w:rsidR="00B2576B" w:rsidRPr="003F38A3" w:rsidTr="00451F40">
        <w:trPr>
          <w:trHeight w:val="67"/>
          <w:jc w:val="center"/>
        </w:trPr>
        <w:tc>
          <w:tcPr>
            <w:tcW w:w="1278" w:type="dxa"/>
            <w:vMerge/>
          </w:tcPr>
          <w:p w:rsidR="00B2576B" w:rsidRPr="003F38A3" w:rsidRDefault="00B2576B" w:rsidP="00971951">
            <w:pPr>
              <w:pStyle w:val="ListParagraph"/>
              <w:ind w:left="0"/>
              <w:jc w:val="center"/>
              <w:rPr>
                <w:rFonts w:ascii="Century Gothic" w:hAnsi="Century Gothic" w:cs="Times New Roman"/>
              </w:rPr>
            </w:pPr>
          </w:p>
        </w:tc>
        <w:tc>
          <w:tcPr>
            <w:tcW w:w="3038" w:type="dxa"/>
            <w:vMerge/>
          </w:tcPr>
          <w:p w:rsidR="00B2576B" w:rsidRPr="003F38A3" w:rsidRDefault="00B2576B" w:rsidP="00451F40">
            <w:pPr>
              <w:pStyle w:val="ListParagraph"/>
              <w:ind w:left="0"/>
              <w:rPr>
                <w:rFonts w:ascii="Century Gothic" w:hAnsi="Century Gothic" w:cs="Times New Roman"/>
              </w:rPr>
            </w:pPr>
          </w:p>
        </w:tc>
        <w:tc>
          <w:tcPr>
            <w:tcW w:w="1747" w:type="dxa"/>
          </w:tcPr>
          <w:p w:rsidR="00B2576B" w:rsidRPr="003F38A3" w:rsidRDefault="00B2576B" w:rsidP="00451F40">
            <w:pPr>
              <w:rPr>
                <w:rFonts w:ascii="Century Gothic" w:hAnsi="Century Gothic" w:cs="Times New Roman"/>
                <w:color w:val="000000"/>
              </w:rPr>
            </w:pPr>
            <w:r w:rsidRPr="003F38A3">
              <w:rPr>
                <w:rFonts w:ascii="Century Gothic" w:hAnsi="Century Gothic" w:cs="Times New Roman"/>
                <w:color w:val="000000"/>
              </w:rPr>
              <w:t>Preferred or Common Stock</w:t>
            </w:r>
          </w:p>
        </w:tc>
        <w:tc>
          <w:tcPr>
            <w:tcW w:w="1602" w:type="dxa"/>
            <w:vMerge/>
          </w:tcPr>
          <w:p w:rsidR="00B2576B" w:rsidRPr="003F38A3" w:rsidRDefault="00B2576B" w:rsidP="00451F40">
            <w:pPr>
              <w:rPr>
                <w:rFonts w:ascii="Century Gothic" w:hAnsi="Century Gothic" w:cs="Times New Roman"/>
                <w:color w:val="000000"/>
              </w:rPr>
            </w:pPr>
          </w:p>
        </w:tc>
        <w:tc>
          <w:tcPr>
            <w:tcW w:w="1845" w:type="dxa"/>
            <w:vMerge/>
            <w:vAlign w:val="center"/>
          </w:tcPr>
          <w:p w:rsidR="00B2576B" w:rsidRPr="003F38A3" w:rsidRDefault="00B2576B" w:rsidP="00451F40">
            <w:pPr>
              <w:jc w:val="center"/>
              <w:rPr>
                <w:rFonts w:ascii="Century Gothic" w:hAnsi="Century Gothic" w:cs="Times New Roman"/>
                <w:color w:val="000000"/>
              </w:rPr>
            </w:pPr>
          </w:p>
        </w:tc>
      </w:tr>
      <w:tr w:rsidR="00B2576B" w:rsidRPr="003F38A3" w:rsidTr="00451F40">
        <w:trPr>
          <w:trHeight w:val="692"/>
          <w:jc w:val="center"/>
        </w:trPr>
        <w:tc>
          <w:tcPr>
            <w:tcW w:w="1278" w:type="dxa"/>
          </w:tcPr>
          <w:p w:rsidR="00B2576B" w:rsidRPr="003F38A3" w:rsidRDefault="00B2576B" w:rsidP="00971951">
            <w:pPr>
              <w:pStyle w:val="ListParagraph"/>
              <w:ind w:left="0"/>
              <w:jc w:val="center"/>
              <w:rPr>
                <w:rFonts w:ascii="Century Gothic" w:hAnsi="Century Gothic" w:cs="Times New Roman"/>
              </w:rPr>
            </w:pPr>
            <w:r w:rsidRPr="003F38A3">
              <w:rPr>
                <w:rFonts w:ascii="Century Gothic" w:hAnsi="Century Gothic" w:cs="Times New Roman"/>
              </w:rPr>
              <w:t>Schedule E</w:t>
            </w:r>
          </w:p>
        </w:tc>
        <w:tc>
          <w:tcPr>
            <w:tcW w:w="3038" w:type="dxa"/>
          </w:tcPr>
          <w:p w:rsidR="00B2576B" w:rsidRPr="003F38A3" w:rsidRDefault="00B2576B" w:rsidP="00451F40">
            <w:pPr>
              <w:rPr>
                <w:rFonts w:ascii="Century Gothic" w:hAnsi="Century Gothic" w:cs="Times New Roman"/>
              </w:rPr>
            </w:pPr>
            <w:r w:rsidRPr="003F38A3">
              <w:rPr>
                <w:rFonts w:ascii="Century Gothic" w:hAnsi="Century Gothic" w:cs="Times New Roman"/>
              </w:rPr>
              <w:t>Cash. Reportable investments from this schedule are usually certificates of deposits of one year or less in community development banks or credit unions.</w:t>
            </w:r>
          </w:p>
        </w:tc>
        <w:tc>
          <w:tcPr>
            <w:tcW w:w="1747" w:type="dxa"/>
          </w:tcPr>
          <w:p w:rsidR="00B2576B" w:rsidRPr="003F38A3" w:rsidRDefault="00B2576B" w:rsidP="00451F40">
            <w:pPr>
              <w:pStyle w:val="ListParagraph"/>
              <w:ind w:left="0"/>
              <w:rPr>
                <w:rFonts w:ascii="Century Gothic" w:hAnsi="Century Gothic" w:cs="Times New Roman"/>
              </w:rPr>
            </w:pPr>
            <w:r w:rsidRPr="003F38A3">
              <w:rPr>
                <w:rFonts w:ascii="Century Gothic" w:hAnsi="Century Gothic" w:cs="Times New Roman"/>
              </w:rPr>
              <w:t>Cash</w:t>
            </w:r>
          </w:p>
        </w:tc>
        <w:tc>
          <w:tcPr>
            <w:tcW w:w="1602" w:type="dxa"/>
          </w:tcPr>
          <w:p w:rsidR="00B2576B" w:rsidRPr="003F38A3" w:rsidRDefault="00B2576B" w:rsidP="00451F40">
            <w:pPr>
              <w:pStyle w:val="ListParagraph"/>
              <w:ind w:left="0"/>
              <w:rPr>
                <w:rFonts w:ascii="Century Gothic" w:hAnsi="Century Gothic" w:cs="Times New Roman"/>
              </w:rPr>
            </w:pPr>
          </w:p>
        </w:tc>
        <w:tc>
          <w:tcPr>
            <w:tcW w:w="1845" w:type="dxa"/>
          </w:tcPr>
          <w:p w:rsidR="00B2576B" w:rsidRPr="003F38A3" w:rsidRDefault="00B2576B" w:rsidP="00451F40">
            <w:pPr>
              <w:pStyle w:val="ListParagraph"/>
              <w:ind w:left="0"/>
              <w:rPr>
                <w:rFonts w:ascii="Century Gothic" w:hAnsi="Century Gothic" w:cs="Times New Roman"/>
              </w:rPr>
            </w:pPr>
          </w:p>
        </w:tc>
      </w:tr>
    </w:tbl>
    <w:p w:rsidR="00774924" w:rsidRPr="003F38A3" w:rsidRDefault="00774924" w:rsidP="00B2576B">
      <w:pPr>
        <w:pStyle w:val="ListParagraph"/>
        <w:spacing w:after="0" w:line="240" w:lineRule="auto"/>
        <w:ind w:left="0"/>
        <w:rPr>
          <w:rFonts w:ascii="Century Gothic" w:hAnsi="Century Gothic" w:cs="Times New Roman"/>
          <w:sz w:val="24"/>
          <w:szCs w:val="24"/>
        </w:rPr>
      </w:pPr>
    </w:p>
    <w:p w:rsidR="007265A0" w:rsidRPr="003F38A3" w:rsidRDefault="007265A0" w:rsidP="00774924">
      <w:pPr>
        <w:pStyle w:val="Heading1"/>
        <w:rPr>
          <w:rFonts w:ascii="Century Gothic" w:hAnsi="Century Gothic"/>
        </w:rPr>
      </w:pPr>
      <w:bookmarkStart w:id="9" w:name="_Toc371580017"/>
      <w:r w:rsidRPr="003F38A3">
        <w:rPr>
          <w:rFonts w:ascii="Century Gothic" w:hAnsi="Century Gothic"/>
        </w:rPr>
        <w:t>APPENDIX II</w:t>
      </w:r>
      <w:bookmarkEnd w:id="9"/>
      <w:r w:rsidR="004C4E25">
        <w:rPr>
          <w:rFonts w:ascii="Century Gothic" w:hAnsi="Century Gothic"/>
        </w:rPr>
        <w:t>I</w:t>
      </w:r>
    </w:p>
    <w:p w:rsidR="00E8360F" w:rsidRPr="003F38A3" w:rsidRDefault="00E8360F" w:rsidP="002E1028">
      <w:pPr>
        <w:pStyle w:val="NoSpacing"/>
        <w:numPr>
          <w:ilvl w:val="0"/>
          <w:numId w:val="10"/>
        </w:numPr>
        <w:rPr>
          <w:rFonts w:ascii="Century Gothic" w:hAnsi="Century Gothic" w:cs="Times New Roman"/>
          <w:sz w:val="24"/>
        </w:rPr>
      </w:pPr>
      <w:r w:rsidRPr="003F38A3">
        <w:rPr>
          <w:rFonts w:ascii="Century Gothic" w:hAnsi="Century Gothic" w:cs="Times New Roman"/>
          <w:b/>
          <w:sz w:val="24"/>
          <w:u w:val="single"/>
        </w:rPr>
        <w:t>Affordable Housing Investments</w:t>
      </w:r>
      <w:r w:rsidRPr="003F38A3">
        <w:rPr>
          <w:rFonts w:ascii="Century Gothic" w:hAnsi="Century Gothic" w:cs="Times New Roman"/>
          <w:sz w:val="24"/>
        </w:rPr>
        <w:t xml:space="preserve"> are those that meet the income criteria for the individuals or families served and/or for the geographic location of the housing, as shown in the following table. The legal documents for the investment often provide the information needed to conclude the investment qualifies.</w:t>
      </w:r>
      <w:r w:rsidR="002E1028" w:rsidRPr="003F38A3">
        <w:rPr>
          <w:rFonts w:ascii="Century Gothic" w:hAnsi="Century Gothic" w:cs="Times New Roman"/>
          <w:sz w:val="24"/>
        </w:rPr>
        <w:br/>
      </w:r>
    </w:p>
    <w:p w:rsidR="002E1028" w:rsidRPr="003F38A3" w:rsidRDefault="00E8360F" w:rsidP="002E1028">
      <w:pPr>
        <w:pStyle w:val="NoSpacing"/>
        <w:numPr>
          <w:ilvl w:val="0"/>
          <w:numId w:val="10"/>
        </w:numPr>
        <w:rPr>
          <w:rFonts w:ascii="Century Gothic" w:hAnsi="Century Gothic" w:cs="Times New Roman"/>
          <w:sz w:val="28"/>
        </w:rPr>
      </w:pPr>
      <w:r w:rsidRPr="003F38A3">
        <w:rPr>
          <w:rFonts w:ascii="Century Gothic" w:hAnsi="Century Gothic" w:cs="Times New Roman"/>
          <w:b/>
          <w:sz w:val="24"/>
          <w:u w:val="single"/>
        </w:rPr>
        <w:t xml:space="preserve">Income categories for this Report </w:t>
      </w:r>
    </w:p>
    <w:p w:rsidR="00E8360F" w:rsidRPr="003F38A3" w:rsidRDefault="00E8360F" w:rsidP="002E1028">
      <w:pPr>
        <w:pStyle w:val="ListParagraph"/>
        <w:numPr>
          <w:ilvl w:val="0"/>
          <w:numId w:val="11"/>
        </w:numPr>
        <w:spacing w:line="240" w:lineRule="auto"/>
        <w:rPr>
          <w:rFonts w:ascii="Century Gothic" w:hAnsi="Century Gothic" w:cs="Times New Roman"/>
          <w:sz w:val="24"/>
        </w:rPr>
      </w:pPr>
      <w:r w:rsidRPr="003F38A3">
        <w:rPr>
          <w:rFonts w:ascii="Century Gothic" w:hAnsi="Century Gothic" w:cs="Times New Roman"/>
          <w:sz w:val="24"/>
        </w:rPr>
        <w:t>Low income – an individual income that is less than 50% of the AMI, or a median family income that is less than 50% of the AMI in the case of a census tract.</w:t>
      </w:r>
    </w:p>
    <w:p w:rsidR="002E1028" w:rsidRPr="003F38A3" w:rsidRDefault="00E8360F" w:rsidP="002E1028">
      <w:pPr>
        <w:pStyle w:val="ListParagraph"/>
        <w:numPr>
          <w:ilvl w:val="0"/>
          <w:numId w:val="11"/>
        </w:numPr>
        <w:spacing w:line="240" w:lineRule="auto"/>
        <w:rPr>
          <w:rFonts w:ascii="Century Gothic" w:hAnsi="Century Gothic" w:cs="Times New Roman"/>
          <w:sz w:val="24"/>
        </w:rPr>
      </w:pPr>
      <w:r w:rsidRPr="003F38A3">
        <w:rPr>
          <w:rFonts w:ascii="Century Gothic" w:hAnsi="Century Gothic" w:cs="Times New Roman"/>
          <w:sz w:val="24"/>
        </w:rPr>
        <w:t>Moderate income – an individual income that is at least 50% but less than 80% of the AMI, or a median family income that is at least 50% but less than 80% of the AMI in the case of a census tract.</w:t>
      </w:r>
    </w:p>
    <w:p w:rsidR="00E8360F" w:rsidRPr="00AC5747" w:rsidRDefault="00E8360F" w:rsidP="002E1028">
      <w:pPr>
        <w:pStyle w:val="ListParagraph"/>
        <w:numPr>
          <w:ilvl w:val="0"/>
          <w:numId w:val="11"/>
        </w:numPr>
        <w:spacing w:line="240" w:lineRule="auto"/>
        <w:rPr>
          <w:rFonts w:ascii="Century Gothic" w:hAnsi="Century Gothic" w:cs="Times New Roman"/>
          <w:sz w:val="24"/>
          <w:szCs w:val="24"/>
        </w:rPr>
      </w:pPr>
      <w:r w:rsidRPr="00AC5747">
        <w:rPr>
          <w:rFonts w:ascii="Century Gothic" w:hAnsi="Century Gothic" w:cs="Times New Roman"/>
          <w:sz w:val="24"/>
          <w:szCs w:val="24"/>
        </w:rPr>
        <w:t>Area Median Income (AMI) means the median family income for the MSA or metropolitan division (for MSAs that are subdivided into divisions) for persons or census tracts located in a metropolitan area, or the statewide non-metropolitan median family income for persons or census tracts outside MSAs.</w:t>
      </w:r>
    </w:p>
    <w:tbl>
      <w:tblPr>
        <w:tblpPr w:leftFromText="180" w:rightFromText="180" w:vertAnchor="text" w:horzAnchor="page"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2114"/>
        <w:gridCol w:w="3358"/>
      </w:tblGrid>
      <w:tr w:rsidR="00E8360F" w:rsidRPr="003F38A3" w:rsidTr="002E1028">
        <w:tc>
          <w:tcPr>
            <w:tcW w:w="10998" w:type="dxa"/>
            <w:gridSpan w:val="3"/>
            <w:shd w:val="clear" w:color="auto" w:fill="auto"/>
          </w:tcPr>
          <w:p w:rsidR="00E8360F" w:rsidRPr="00AC5747" w:rsidRDefault="00E8360F" w:rsidP="00451F40">
            <w:pPr>
              <w:spacing w:line="240" w:lineRule="auto"/>
              <w:jc w:val="center"/>
              <w:rPr>
                <w:rFonts w:ascii="Century Gothic" w:hAnsi="Century Gothic" w:cs="Times New Roman"/>
                <w:b/>
                <w:sz w:val="24"/>
                <w:szCs w:val="24"/>
              </w:rPr>
            </w:pPr>
            <w:r w:rsidRPr="00AC5747">
              <w:rPr>
                <w:rFonts w:ascii="Century Gothic" w:hAnsi="Century Gothic" w:cs="Times New Roman"/>
                <w:b/>
                <w:sz w:val="24"/>
                <w:szCs w:val="24"/>
              </w:rPr>
              <w:t>Affordable Housing Table</w:t>
            </w:r>
          </w:p>
        </w:tc>
      </w:tr>
      <w:tr w:rsidR="00E8360F" w:rsidRPr="003F38A3" w:rsidTr="005F3C42">
        <w:tc>
          <w:tcPr>
            <w:tcW w:w="4590" w:type="dxa"/>
            <w:shd w:val="clear" w:color="auto" w:fill="auto"/>
            <w:vAlign w:val="bottom"/>
          </w:tcPr>
          <w:p w:rsidR="00E8360F" w:rsidRPr="005F3C42" w:rsidRDefault="00E8360F" w:rsidP="00FD19D9">
            <w:pPr>
              <w:spacing w:line="240" w:lineRule="auto"/>
              <w:rPr>
                <w:rFonts w:ascii="Century Gothic" w:hAnsi="Century Gothic" w:cs="Times New Roman"/>
                <w:b/>
                <w:sz w:val="24"/>
                <w:szCs w:val="24"/>
              </w:rPr>
            </w:pPr>
            <w:r w:rsidRPr="005F3C42">
              <w:rPr>
                <w:rFonts w:ascii="Century Gothic" w:hAnsi="Century Gothic" w:cs="Times New Roman"/>
                <w:b/>
                <w:sz w:val="24"/>
                <w:szCs w:val="24"/>
              </w:rPr>
              <w:t xml:space="preserve">Type of Housing </w:t>
            </w:r>
          </w:p>
        </w:tc>
        <w:tc>
          <w:tcPr>
            <w:tcW w:w="2340" w:type="dxa"/>
            <w:shd w:val="clear" w:color="auto" w:fill="auto"/>
            <w:vAlign w:val="bottom"/>
          </w:tcPr>
          <w:p w:rsidR="00E8360F" w:rsidRPr="005F3C42" w:rsidRDefault="00E8360F" w:rsidP="004003FF">
            <w:pPr>
              <w:spacing w:line="240" w:lineRule="auto"/>
              <w:rPr>
                <w:rFonts w:ascii="Century Gothic" w:hAnsi="Century Gothic" w:cs="Times New Roman"/>
                <w:b/>
                <w:sz w:val="24"/>
                <w:szCs w:val="24"/>
              </w:rPr>
            </w:pPr>
            <w:r w:rsidRPr="005F3C42">
              <w:rPr>
                <w:rFonts w:ascii="Century Gothic" w:hAnsi="Century Gothic" w:cs="Times New Roman"/>
                <w:b/>
                <w:sz w:val="24"/>
                <w:szCs w:val="24"/>
              </w:rPr>
              <w:t>Maximum Household Income as % of AMI</w:t>
            </w:r>
          </w:p>
        </w:tc>
        <w:tc>
          <w:tcPr>
            <w:tcW w:w="4068" w:type="dxa"/>
            <w:shd w:val="clear" w:color="auto" w:fill="auto"/>
            <w:vAlign w:val="bottom"/>
          </w:tcPr>
          <w:p w:rsidR="00E8360F" w:rsidRPr="005F3C42" w:rsidRDefault="00E8360F" w:rsidP="00062291">
            <w:pPr>
              <w:spacing w:line="240" w:lineRule="auto"/>
              <w:rPr>
                <w:rFonts w:ascii="Century Gothic" w:hAnsi="Century Gothic" w:cs="Times New Roman"/>
                <w:b/>
                <w:sz w:val="24"/>
                <w:szCs w:val="24"/>
              </w:rPr>
            </w:pPr>
            <w:r w:rsidRPr="005F3C42">
              <w:rPr>
                <w:rFonts w:ascii="Century Gothic" w:hAnsi="Century Gothic" w:cs="Times New Roman"/>
                <w:b/>
                <w:sz w:val="24"/>
                <w:szCs w:val="24"/>
              </w:rPr>
              <w:t>Location of Housing</w:t>
            </w:r>
          </w:p>
        </w:tc>
      </w:tr>
      <w:tr w:rsidR="00E8360F" w:rsidRPr="003F38A3" w:rsidTr="002E1028">
        <w:tc>
          <w:tcPr>
            <w:tcW w:w="4590"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 xml:space="preserve">Rental (including purchasing Low-Income Housing Tax Credits). </w:t>
            </w:r>
          </w:p>
        </w:tc>
        <w:tc>
          <w:tcPr>
            <w:tcW w:w="2340" w:type="dxa"/>
            <w:shd w:val="clear" w:color="auto" w:fill="auto"/>
          </w:tcPr>
          <w:p w:rsidR="00E8360F" w:rsidRPr="00AC5747" w:rsidRDefault="00E8360F" w:rsidP="00451F40">
            <w:pPr>
              <w:spacing w:line="240" w:lineRule="auto"/>
              <w:rPr>
                <w:rFonts w:ascii="Century Gothic" w:hAnsi="Century Gothic" w:cs="Times New Roman"/>
                <w:sz w:val="24"/>
                <w:szCs w:val="24"/>
              </w:rPr>
            </w:pPr>
          </w:p>
          <w:p w:rsidR="00E8360F" w:rsidRPr="00AC5747" w:rsidRDefault="00E8360F" w:rsidP="00451F40">
            <w:pPr>
              <w:spacing w:line="240" w:lineRule="auto"/>
              <w:rPr>
                <w:rFonts w:ascii="Century Gothic" w:hAnsi="Century Gothic" w:cs="Times New Roman"/>
                <w:sz w:val="24"/>
                <w:szCs w:val="24"/>
              </w:rPr>
            </w:pPr>
          </w:p>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&lt; 80%</w:t>
            </w:r>
          </w:p>
        </w:tc>
        <w:tc>
          <w:tcPr>
            <w:tcW w:w="4068" w:type="dxa"/>
            <w:shd w:val="clear" w:color="auto" w:fill="auto"/>
          </w:tcPr>
          <w:p w:rsidR="00E8360F" w:rsidRPr="00AC5747" w:rsidRDefault="00E8360F" w:rsidP="00451F40">
            <w:pPr>
              <w:spacing w:line="240" w:lineRule="auto"/>
              <w:rPr>
                <w:rFonts w:ascii="Century Gothic" w:hAnsi="Century Gothic" w:cs="Times New Roman"/>
                <w:sz w:val="24"/>
                <w:szCs w:val="24"/>
              </w:rPr>
            </w:pPr>
          </w:p>
          <w:p w:rsidR="00E8360F" w:rsidRPr="00AC5747" w:rsidRDefault="00E8360F" w:rsidP="00451F40">
            <w:pPr>
              <w:spacing w:line="240" w:lineRule="auto"/>
              <w:rPr>
                <w:rFonts w:ascii="Century Gothic" w:hAnsi="Century Gothic" w:cs="Times New Roman"/>
                <w:sz w:val="24"/>
                <w:szCs w:val="24"/>
              </w:rPr>
            </w:pPr>
          </w:p>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Anywhere in California</w:t>
            </w:r>
          </w:p>
        </w:tc>
      </w:tr>
      <w:tr w:rsidR="00E8360F" w:rsidRPr="003F38A3" w:rsidTr="002E1028">
        <w:tc>
          <w:tcPr>
            <w:tcW w:w="4590" w:type="dxa"/>
            <w:shd w:val="clear" w:color="auto" w:fill="auto"/>
          </w:tcPr>
          <w:p w:rsidR="00E8360F" w:rsidRPr="00AC5747" w:rsidRDefault="00E8360F" w:rsidP="00451F40">
            <w:pPr>
              <w:spacing w:line="240" w:lineRule="auto"/>
              <w:rPr>
                <w:rFonts w:ascii="Century Gothic" w:hAnsi="Century Gothic" w:cs="Times New Roman"/>
                <w:sz w:val="24"/>
                <w:szCs w:val="24"/>
              </w:rPr>
            </w:pPr>
          </w:p>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Ownership</w:t>
            </w:r>
          </w:p>
        </w:tc>
        <w:tc>
          <w:tcPr>
            <w:tcW w:w="2340" w:type="dxa"/>
            <w:shd w:val="clear" w:color="auto" w:fill="auto"/>
          </w:tcPr>
          <w:p w:rsidR="00E8360F" w:rsidRPr="00AC5747" w:rsidRDefault="00E8360F" w:rsidP="00451F40">
            <w:pPr>
              <w:spacing w:line="240" w:lineRule="auto"/>
              <w:rPr>
                <w:rFonts w:ascii="Century Gothic" w:hAnsi="Century Gothic" w:cs="Times New Roman"/>
                <w:sz w:val="24"/>
                <w:szCs w:val="24"/>
              </w:rPr>
            </w:pPr>
          </w:p>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&lt;120%</w:t>
            </w:r>
          </w:p>
        </w:tc>
        <w:tc>
          <w:tcPr>
            <w:tcW w:w="4068"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Census tracts with median family incomes &lt; 80% of AMI or focused on infill sites.</w:t>
            </w:r>
          </w:p>
        </w:tc>
      </w:tr>
      <w:tr w:rsidR="00E8360F" w:rsidRPr="003F38A3" w:rsidTr="002E1028">
        <w:tc>
          <w:tcPr>
            <w:tcW w:w="4590"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Mixed Income Housing Developments (Affordable and Market Rate rental and/or ownership) providing neighborhood revitalization benefits.</w:t>
            </w:r>
          </w:p>
        </w:tc>
        <w:tc>
          <w:tcPr>
            <w:tcW w:w="2340"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Not applicable</w:t>
            </w:r>
          </w:p>
        </w:tc>
        <w:tc>
          <w:tcPr>
            <w:tcW w:w="4068"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Census tracts with median family incomes &lt; 80% of AMI or poverty levels &gt; 20% or focused on infill sites.</w:t>
            </w:r>
          </w:p>
        </w:tc>
      </w:tr>
      <w:tr w:rsidR="00E8360F" w:rsidRPr="003F38A3" w:rsidTr="002E1028">
        <w:tc>
          <w:tcPr>
            <w:tcW w:w="4590"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Mixed-Use Developments that include Affordable Housing (rental and/or ownership) and provide neighborhood revitalization benefits.</w:t>
            </w:r>
          </w:p>
        </w:tc>
        <w:tc>
          <w:tcPr>
            <w:tcW w:w="2340"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Not applicable</w:t>
            </w:r>
          </w:p>
        </w:tc>
        <w:tc>
          <w:tcPr>
            <w:tcW w:w="4068" w:type="dxa"/>
            <w:shd w:val="clear" w:color="auto" w:fill="auto"/>
          </w:tcPr>
          <w:p w:rsidR="00E8360F" w:rsidRPr="00AC5747" w:rsidRDefault="00E8360F"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Census tracts with median family incomes &lt; 80% of AMI or poverty levels &gt; 20% or focused on infill sites.</w:t>
            </w:r>
          </w:p>
        </w:tc>
      </w:tr>
    </w:tbl>
    <w:p w:rsidR="007265A0" w:rsidRPr="003F38A3" w:rsidRDefault="007265A0" w:rsidP="00A80029">
      <w:pPr>
        <w:rPr>
          <w:rFonts w:ascii="Century Gothic" w:hAnsi="Century Gothic" w:cs="Times New Roman"/>
          <w:sz w:val="24"/>
        </w:rPr>
      </w:pPr>
    </w:p>
    <w:p w:rsidR="009706F3" w:rsidRPr="003F38A3" w:rsidRDefault="009706F3" w:rsidP="00A80029">
      <w:pPr>
        <w:pStyle w:val="ListParagraph"/>
        <w:numPr>
          <w:ilvl w:val="0"/>
          <w:numId w:val="10"/>
        </w:numPr>
        <w:spacing w:line="240" w:lineRule="auto"/>
        <w:rPr>
          <w:rFonts w:ascii="Century Gothic" w:hAnsi="Century Gothic" w:cs="Times New Roman"/>
          <w:sz w:val="24"/>
        </w:rPr>
      </w:pPr>
      <w:r w:rsidRPr="003F38A3">
        <w:rPr>
          <w:rFonts w:ascii="Century Gothic" w:hAnsi="Century Gothic" w:cs="Times New Roman"/>
          <w:b/>
          <w:sz w:val="24"/>
          <w:u w:val="single"/>
        </w:rPr>
        <w:t>California Municipal Bonds</w:t>
      </w:r>
      <w:r w:rsidRPr="003F38A3">
        <w:rPr>
          <w:rFonts w:ascii="Century Gothic" w:hAnsi="Century Gothic" w:cs="Times New Roman"/>
          <w:sz w:val="24"/>
        </w:rPr>
        <w:t>: The following table shows examples of qualifying California Municipal Bonds.</w:t>
      </w:r>
    </w:p>
    <w:tbl>
      <w:tblPr>
        <w:tblW w:w="97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311"/>
      </w:tblGrid>
      <w:tr w:rsidR="00A80029" w:rsidRPr="003F38A3" w:rsidTr="005F3C42">
        <w:tc>
          <w:tcPr>
            <w:tcW w:w="9794" w:type="dxa"/>
            <w:gridSpan w:val="2"/>
            <w:shd w:val="clear" w:color="auto" w:fill="auto"/>
            <w:vAlign w:val="bottom"/>
          </w:tcPr>
          <w:p w:rsidR="00A80029" w:rsidRPr="003F38A3" w:rsidRDefault="00A80029">
            <w:pPr>
              <w:spacing w:line="240" w:lineRule="auto"/>
              <w:jc w:val="center"/>
              <w:rPr>
                <w:rFonts w:ascii="Century Gothic" w:hAnsi="Century Gothic" w:cs="Times New Roman"/>
                <w:sz w:val="24"/>
              </w:rPr>
            </w:pPr>
            <w:r w:rsidRPr="003F38A3">
              <w:rPr>
                <w:rFonts w:ascii="Century Gothic" w:hAnsi="Century Gothic" w:cs="Times New Roman"/>
                <w:b/>
                <w:sz w:val="24"/>
              </w:rPr>
              <w:t>California Municipal Bond Table</w:t>
            </w:r>
          </w:p>
        </w:tc>
      </w:tr>
      <w:tr w:rsidR="009706F3" w:rsidRPr="003F38A3" w:rsidTr="005F3C42">
        <w:trPr>
          <w:trHeight w:val="278"/>
        </w:trPr>
        <w:tc>
          <w:tcPr>
            <w:tcW w:w="3483" w:type="dxa"/>
            <w:shd w:val="clear" w:color="auto" w:fill="auto"/>
            <w:vAlign w:val="bottom"/>
          </w:tcPr>
          <w:p w:rsidR="009706F3" w:rsidRPr="005F3C42" w:rsidRDefault="009706F3">
            <w:pPr>
              <w:spacing w:line="240" w:lineRule="auto"/>
              <w:rPr>
                <w:rFonts w:ascii="Century Gothic" w:hAnsi="Century Gothic" w:cs="Times New Roman"/>
                <w:b/>
                <w:sz w:val="24"/>
              </w:rPr>
            </w:pPr>
            <w:r w:rsidRPr="005F3C42">
              <w:rPr>
                <w:rFonts w:ascii="Century Gothic" w:hAnsi="Century Gothic" w:cs="Times New Roman"/>
                <w:b/>
                <w:sz w:val="24"/>
              </w:rPr>
              <w:t>Type of Bond (Schedule D)</w:t>
            </w:r>
          </w:p>
        </w:tc>
        <w:tc>
          <w:tcPr>
            <w:tcW w:w="6311" w:type="dxa"/>
            <w:shd w:val="clear" w:color="auto" w:fill="auto"/>
            <w:vAlign w:val="bottom"/>
          </w:tcPr>
          <w:p w:rsidR="009706F3" w:rsidRPr="005F3C42" w:rsidRDefault="009706F3">
            <w:pPr>
              <w:spacing w:line="240" w:lineRule="auto"/>
              <w:rPr>
                <w:rFonts w:ascii="Century Gothic" w:hAnsi="Century Gothic" w:cs="Times New Roman"/>
                <w:b/>
                <w:sz w:val="24"/>
              </w:rPr>
            </w:pPr>
            <w:r w:rsidRPr="005F3C42">
              <w:rPr>
                <w:rFonts w:ascii="Century Gothic" w:hAnsi="Century Gothic" w:cs="Times New Roman"/>
                <w:b/>
                <w:sz w:val="24"/>
              </w:rPr>
              <w:t>Qualification Criteria</w:t>
            </w:r>
          </w:p>
        </w:tc>
      </w:tr>
      <w:tr w:rsidR="009706F3" w:rsidRPr="003F38A3" w:rsidTr="00A80029">
        <w:tc>
          <w:tcPr>
            <w:tcW w:w="3483"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Renewable Energy Generation Bonds</w:t>
            </w:r>
          </w:p>
        </w:tc>
        <w:tc>
          <w:tcPr>
            <w:tcW w:w="6311"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Anywhere in California</w:t>
            </w:r>
          </w:p>
        </w:tc>
      </w:tr>
      <w:tr w:rsidR="009706F3" w:rsidRPr="003F38A3" w:rsidTr="00A80029">
        <w:tc>
          <w:tcPr>
            <w:tcW w:w="3483"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Affordable Housing Bonds</w:t>
            </w:r>
          </w:p>
        </w:tc>
        <w:tc>
          <w:tcPr>
            <w:tcW w:w="6311"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See the Affordable Housing Table on page 7.</w:t>
            </w:r>
          </w:p>
        </w:tc>
      </w:tr>
      <w:tr w:rsidR="009706F3" w:rsidRPr="003F38A3" w:rsidTr="00A80029">
        <w:tc>
          <w:tcPr>
            <w:tcW w:w="3483"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Redevelopment Agency Bonds</w:t>
            </w:r>
          </w:p>
        </w:tc>
        <w:tc>
          <w:tcPr>
            <w:tcW w:w="6311"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Bonds qualify when the projects directly benefit LMI communities. Include Redevelopment Agency Bonds in the description field. Redevelopment projects offering energy efficiency improvements or generation.</w:t>
            </w:r>
          </w:p>
        </w:tc>
      </w:tr>
      <w:tr w:rsidR="009706F3" w:rsidRPr="003F38A3" w:rsidTr="00A80029">
        <w:tc>
          <w:tcPr>
            <w:tcW w:w="3483"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Industrial Development Bonds (IDBs)</w:t>
            </w:r>
          </w:p>
        </w:tc>
        <w:tc>
          <w:tcPr>
            <w:tcW w:w="6311"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Bonds qualify when the project being financed would qualify as economic development, as defined, directly benefiting LMI communities and/or projects offering energy efficiency improvements or generation.</w:t>
            </w:r>
          </w:p>
        </w:tc>
      </w:tr>
      <w:tr w:rsidR="009706F3" w:rsidRPr="003F38A3" w:rsidTr="00A80029">
        <w:tc>
          <w:tcPr>
            <w:tcW w:w="3483"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Health Care, Care Services or other Community Facilities Bonds</w:t>
            </w:r>
          </w:p>
        </w:tc>
        <w:tc>
          <w:tcPr>
            <w:tcW w:w="6311" w:type="dxa"/>
            <w:shd w:val="clear" w:color="auto" w:fill="auto"/>
          </w:tcPr>
          <w:p w:rsidR="009706F3" w:rsidRPr="003F38A3" w:rsidRDefault="009706F3" w:rsidP="00451F40">
            <w:pPr>
              <w:spacing w:line="240" w:lineRule="auto"/>
              <w:rPr>
                <w:rFonts w:ascii="Century Gothic" w:hAnsi="Century Gothic" w:cs="Times New Roman"/>
                <w:sz w:val="24"/>
              </w:rPr>
            </w:pPr>
            <w:r w:rsidRPr="003F38A3">
              <w:rPr>
                <w:rFonts w:ascii="Century Gothic" w:hAnsi="Century Gothic" w:cs="Times New Roman"/>
                <w:sz w:val="24"/>
              </w:rPr>
              <w:t xml:space="preserve">Only bonds where the beneficiaries of the financed facilities are LMI people or communities and/or </w:t>
            </w:r>
            <w:r w:rsidRPr="003F38A3">
              <w:rPr>
                <w:rFonts w:ascii="Century Gothic" w:hAnsi="Century Gothic" w:cs="Times New Roman"/>
                <w:sz w:val="24"/>
              </w:rPr>
              <w:lastRenderedPageBreak/>
              <w:t>projects offering energy efficiency improvements or generation.</w:t>
            </w:r>
          </w:p>
        </w:tc>
      </w:tr>
    </w:tbl>
    <w:p w:rsidR="007265A0" w:rsidRPr="003F38A3" w:rsidRDefault="007265A0" w:rsidP="00CE151F">
      <w:pPr>
        <w:pStyle w:val="ListParagraph"/>
        <w:ind w:left="1080"/>
        <w:rPr>
          <w:rFonts w:ascii="Century Gothic" w:hAnsi="Century Gothic" w:cs="Times New Roman"/>
          <w:sz w:val="24"/>
        </w:rPr>
      </w:pPr>
    </w:p>
    <w:p w:rsidR="00A80029" w:rsidRPr="003F38A3" w:rsidRDefault="00A80029" w:rsidP="005F3C42">
      <w:pPr>
        <w:pStyle w:val="ListParagraph"/>
        <w:numPr>
          <w:ilvl w:val="0"/>
          <w:numId w:val="10"/>
        </w:numPr>
        <w:spacing w:line="240" w:lineRule="auto"/>
        <w:rPr>
          <w:rFonts w:ascii="Century Gothic" w:hAnsi="Century Gothic" w:cs="Times New Roman"/>
          <w:sz w:val="24"/>
        </w:rPr>
      </w:pPr>
      <w:r w:rsidRPr="003F38A3">
        <w:rPr>
          <w:rFonts w:ascii="Century Gothic" w:hAnsi="Century Gothic" w:cs="Times New Roman"/>
          <w:b/>
          <w:sz w:val="24"/>
          <w:u w:val="single"/>
        </w:rPr>
        <w:t>Economic Development</w:t>
      </w:r>
      <w:r w:rsidRPr="003F38A3">
        <w:rPr>
          <w:rFonts w:ascii="Century Gothic" w:hAnsi="Century Gothic" w:cs="Times New Roman"/>
          <w:sz w:val="24"/>
        </w:rPr>
        <w:t>: The following table shows examples of economic development investments and qualifying geographic locations.</w:t>
      </w:r>
    </w:p>
    <w:tbl>
      <w:tblPr>
        <w:tblpPr w:leftFromText="180" w:rightFromText="180" w:vertAnchor="text" w:horzAnchor="page"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4207"/>
      </w:tblGrid>
      <w:tr w:rsidR="00A80029" w:rsidRPr="003F38A3" w:rsidTr="00451F40">
        <w:trPr>
          <w:trHeight w:val="260"/>
        </w:trPr>
        <w:tc>
          <w:tcPr>
            <w:tcW w:w="10998" w:type="dxa"/>
            <w:gridSpan w:val="2"/>
            <w:shd w:val="clear" w:color="auto" w:fill="auto"/>
          </w:tcPr>
          <w:p w:rsidR="00A80029" w:rsidRPr="00AC5747" w:rsidRDefault="00A80029" w:rsidP="00451F40">
            <w:pPr>
              <w:spacing w:line="240" w:lineRule="auto"/>
              <w:jc w:val="center"/>
              <w:rPr>
                <w:rFonts w:ascii="Century Gothic" w:hAnsi="Century Gothic" w:cs="Times New Roman"/>
                <w:b/>
                <w:sz w:val="24"/>
                <w:szCs w:val="24"/>
              </w:rPr>
            </w:pPr>
            <w:r w:rsidRPr="00AC5747">
              <w:rPr>
                <w:rFonts w:ascii="Century Gothic" w:hAnsi="Century Gothic" w:cs="Times New Roman"/>
                <w:b/>
                <w:sz w:val="24"/>
                <w:szCs w:val="24"/>
              </w:rPr>
              <w:t>Economic Development Table</w:t>
            </w:r>
          </w:p>
        </w:tc>
      </w:tr>
      <w:tr w:rsidR="00A80029" w:rsidRPr="003F38A3" w:rsidTr="005F3C42">
        <w:trPr>
          <w:trHeight w:val="274"/>
        </w:trPr>
        <w:tc>
          <w:tcPr>
            <w:tcW w:w="6030" w:type="dxa"/>
            <w:shd w:val="clear" w:color="auto" w:fill="auto"/>
            <w:vAlign w:val="bottom"/>
          </w:tcPr>
          <w:p w:rsidR="00A80029" w:rsidRPr="005F3C42" w:rsidRDefault="00A80029" w:rsidP="005F3C42">
            <w:pPr>
              <w:spacing w:line="240" w:lineRule="auto"/>
              <w:rPr>
                <w:rFonts w:ascii="Century Gothic" w:hAnsi="Century Gothic" w:cs="Times New Roman"/>
                <w:b/>
                <w:sz w:val="24"/>
                <w:szCs w:val="24"/>
              </w:rPr>
            </w:pPr>
            <w:r w:rsidRPr="005F3C42">
              <w:rPr>
                <w:rFonts w:ascii="Century Gothic" w:hAnsi="Century Gothic" w:cs="Times New Roman"/>
                <w:b/>
                <w:sz w:val="24"/>
                <w:szCs w:val="24"/>
              </w:rPr>
              <w:t>Type of Investment</w:t>
            </w:r>
          </w:p>
        </w:tc>
        <w:tc>
          <w:tcPr>
            <w:tcW w:w="4968" w:type="dxa"/>
            <w:shd w:val="clear" w:color="auto" w:fill="auto"/>
            <w:vAlign w:val="bottom"/>
          </w:tcPr>
          <w:p w:rsidR="00A80029" w:rsidRPr="005F3C42" w:rsidRDefault="00A80029" w:rsidP="00FD19D9">
            <w:pPr>
              <w:spacing w:line="240" w:lineRule="auto"/>
              <w:rPr>
                <w:rFonts w:ascii="Century Gothic" w:hAnsi="Century Gothic" w:cs="Times New Roman"/>
                <w:b/>
                <w:sz w:val="24"/>
                <w:szCs w:val="24"/>
              </w:rPr>
            </w:pPr>
            <w:r w:rsidRPr="005F3C42">
              <w:rPr>
                <w:rFonts w:ascii="Century Gothic" w:hAnsi="Century Gothic" w:cs="Times New Roman"/>
                <w:b/>
                <w:sz w:val="24"/>
                <w:szCs w:val="24"/>
              </w:rPr>
              <w:t>Location of Business or Property</w:t>
            </w:r>
          </w:p>
        </w:tc>
      </w:tr>
      <w:tr w:rsidR="00A80029" w:rsidRPr="003F38A3" w:rsidTr="00451F40">
        <w:trPr>
          <w:trHeight w:val="1053"/>
        </w:trPr>
        <w:tc>
          <w:tcPr>
            <w:tcW w:w="6030"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Investments in or Loans to a Business – Usually some portion of the business would have an address meeting the location requirement.</w:t>
            </w:r>
          </w:p>
        </w:tc>
        <w:tc>
          <w:tcPr>
            <w:tcW w:w="4968"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 xml:space="preserve">LMI census tracts. </w:t>
            </w:r>
          </w:p>
        </w:tc>
      </w:tr>
      <w:tr w:rsidR="00A80029" w:rsidRPr="003F38A3" w:rsidTr="00451F40">
        <w:trPr>
          <w:trHeight w:val="793"/>
        </w:trPr>
        <w:tc>
          <w:tcPr>
            <w:tcW w:w="6030"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Commercial Real Estate:</w:t>
            </w:r>
          </w:p>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 xml:space="preserve">  -  Real Estate Owned (Schedule A)</w:t>
            </w:r>
            <w:r w:rsidRPr="00AC5747">
              <w:rPr>
                <w:rFonts w:ascii="Century Gothic" w:hAnsi="Century Gothic" w:cs="Times New Roman"/>
                <w:sz w:val="24"/>
                <w:szCs w:val="24"/>
              </w:rPr>
              <w:br/>
              <w:t xml:space="preserve">  -  Commercial Mortgages (Schedule B)</w:t>
            </w:r>
          </w:p>
        </w:tc>
        <w:tc>
          <w:tcPr>
            <w:tcW w:w="4968"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 xml:space="preserve">LMI census tracts. </w:t>
            </w:r>
          </w:p>
        </w:tc>
      </w:tr>
      <w:tr w:rsidR="00A80029" w:rsidRPr="003F38A3" w:rsidTr="00451F40">
        <w:trPr>
          <w:trHeight w:val="1053"/>
        </w:trPr>
        <w:tc>
          <w:tcPr>
            <w:tcW w:w="6030"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Investments in organizations qualifying for tax credits under the New Markets Tax Credit (NMTC) program (Schedule BA) or projects offering energy efficiency improvements or generation.</w:t>
            </w:r>
          </w:p>
        </w:tc>
        <w:tc>
          <w:tcPr>
            <w:tcW w:w="4968"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Anywhere in California</w:t>
            </w:r>
          </w:p>
        </w:tc>
      </w:tr>
      <w:tr w:rsidR="00A80029" w:rsidRPr="003F38A3" w:rsidTr="00451F40">
        <w:trPr>
          <w:trHeight w:val="401"/>
        </w:trPr>
        <w:tc>
          <w:tcPr>
            <w:tcW w:w="6030"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 xml:space="preserve">Certain Bonds </w:t>
            </w:r>
          </w:p>
        </w:tc>
        <w:tc>
          <w:tcPr>
            <w:tcW w:w="4968" w:type="dxa"/>
            <w:shd w:val="clear" w:color="auto" w:fill="auto"/>
          </w:tcPr>
          <w:p w:rsidR="00A80029" w:rsidRPr="00AC5747" w:rsidRDefault="00A80029" w:rsidP="00451F40">
            <w:pPr>
              <w:spacing w:line="240" w:lineRule="auto"/>
              <w:rPr>
                <w:rFonts w:ascii="Century Gothic" w:hAnsi="Century Gothic" w:cs="Times New Roman"/>
                <w:sz w:val="24"/>
                <w:szCs w:val="24"/>
              </w:rPr>
            </w:pPr>
            <w:r w:rsidRPr="00AC5747">
              <w:rPr>
                <w:rFonts w:ascii="Century Gothic" w:hAnsi="Century Gothic" w:cs="Times New Roman"/>
                <w:sz w:val="24"/>
                <w:szCs w:val="24"/>
              </w:rPr>
              <w:t>See California Municipal Bond Table</w:t>
            </w:r>
          </w:p>
        </w:tc>
      </w:tr>
    </w:tbl>
    <w:p w:rsidR="002D2740" w:rsidRPr="005F3C42" w:rsidRDefault="002D2740" w:rsidP="005F3C42">
      <w:pPr>
        <w:pStyle w:val="BodyText"/>
      </w:pPr>
    </w:p>
    <w:p w:rsidR="003F38A3" w:rsidRDefault="003F38A3" w:rsidP="005F3C42">
      <w:pPr>
        <w:pStyle w:val="Heading1"/>
        <w:jc w:val="left"/>
        <w:rPr>
          <w:rFonts w:ascii="Century Gothic" w:hAnsi="Century Gothic"/>
        </w:rPr>
      </w:pPr>
      <w:bookmarkStart w:id="10" w:name="_Toc371580018"/>
    </w:p>
    <w:p w:rsidR="003B0D62" w:rsidRPr="005F3C42" w:rsidRDefault="003B0D62" w:rsidP="00774924">
      <w:pPr>
        <w:pStyle w:val="Heading1"/>
        <w:rPr>
          <w:rFonts w:ascii="Century Gothic" w:hAnsi="Century Gothic"/>
        </w:rPr>
      </w:pPr>
      <w:r w:rsidRPr="005F3C42">
        <w:rPr>
          <w:rFonts w:ascii="Century Gothic" w:hAnsi="Century Gothic"/>
        </w:rPr>
        <w:t xml:space="preserve">APPENDIX </w:t>
      </w:r>
      <w:bookmarkEnd w:id="10"/>
      <w:r w:rsidR="004C4E25" w:rsidRPr="005F3C42">
        <w:rPr>
          <w:rFonts w:ascii="Century Gothic" w:hAnsi="Century Gothic"/>
        </w:rPr>
        <w:t>IV</w:t>
      </w:r>
    </w:p>
    <w:tbl>
      <w:tblPr>
        <w:tblStyle w:val="TableGrid"/>
        <w:tblW w:w="0" w:type="auto"/>
        <w:jc w:val="center"/>
        <w:tblLook w:val="04A0" w:firstRow="1" w:lastRow="0" w:firstColumn="1" w:lastColumn="0" w:noHBand="0" w:noVBand="1"/>
      </w:tblPr>
      <w:tblGrid>
        <w:gridCol w:w="1849"/>
        <w:gridCol w:w="3382"/>
        <w:gridCol w:w="3265"/>
      </w:tblGrid>
      <w:tr w:rsidR="00B2576B" w:rsidRPr="00AC5747" w:rsidTr="005F3C42">
        <w:trPr>
          <w:jc w:val="center"/>
        </w:trPr>
        <w:tc>
          <w:tcPr>
            <w:tcW w:w="1849" w:type="dxa"/>
            <w:vAlign w:val="bottom"/>
          </w:tcPr>
          <w:p w:rsidR="00B2576B" w:rsidRPr="005F3C42" w:rsidRDefault="00B2576B" w:rsidP="005F3C42">
            <w:pPr>
              <w:pStyle w:val="ListParagraph"/>
              <w:ind w:left="0"/>
              <w:rPr>
                <w:rFonts w:ascii="Century Gothic" w:hAnsi="Century Gothic" w:cs="Times New Roman"/>
                <w:b/>
                <w:sz w:val="24"/>
                <w:szCs w:val="24"/>
              </w:rPr>
            </w:pPr>
            <w:r w:rsidRPr="005F3C42">
              <w:rPr>
                <w:rFonts w:ascii="Century Gothic" w:hAnsi="Century Gothic" w:cs="Times New Roman"/>
                <w:b/>
                <w:sz w:val="24"/>
                <w:szCs w:val="24"/>
              </w:rPr>
              <w:t>Schedule Name</w:t>
            </w:r>
          </w:p>
        </w:tc>
        <w:tc>
          <w:tcPr>
            <w:tcW w:w="3382" w:type="dxa"/>
            <w:vAlign w:val="bottom"/>
          </w:tcPr>
          <w:p w:rsidR="00B2576B" w:rsidRPr="005F3C42" w:rsidRDefault="00B2576B" w:rsidP="005F3C42">
            <w:pPr>
              <w:pStyle w:val="ListParagraph"/>
              <w:ind w:left="0"/>
              <w:rPr>
                <w:rFonts w:ascii="Century Gothic" w:hAnsi="Century Gothic" w:cs="Times New Roman"/>
                <w:b/>
                <w:sz w:val="24"/>
                <w:szCs w:val="24"/>
              </w:rPr>
            </w:pPr>
            <w:r w:rsidRPr="005F3C42">
              <w:rPr>
                <w:rFonts w:ascii="Century Gothic" w:hAnsi="Century Gothic" w:cs="Times New Roman"/>
                <w:b/>
                <w:sz w:val="24"/>
                <w:szCs w:val="24"/>
              </w:rPr>
              <w:t>Performance parameter</w:t>
            </w:r>
          </w:p>
        </w:tc>
        <w:tc>
          <w:tcPr>
            <w:tcW w:w="3265" w:type="dxa"/>
            <w:vAlign w:val="bottom"/>
          </w:tcPr>
          <w:p w:rsidR="00B2576B" w:rsidRPr="005F3C42" w:rsidRDefault="00B2576B" w:rsidP="005F3C42">
            <w:pPr>
              <w:pStyle w:val="ListParagraph"/>
              <w:ind w:left="0"/>
              <w:rPr>
                <w:rFonts w:ascii="Century Gothic" w:hAnsi="Century Gothic" w:cs="Times New Roman"/>
                <w:b/>
                <w:sz w:val="24"/>
                <w:szCs w:val="24"/>
              </w:rPr>
            </w:pPr>
            <w:r w:rsidRPr="005F3C42">
              <w:rPr>
                <w:rFonts w:ascii="Century Gothic" w:hAnsi="Century Gothic" w:cs="Times New Roman"/>
                <w:b/>
                <w:sz w:val="24"/>
                <w:szCs w:val="24"/>
              </w:rPr>
              <w:t>Example benchmark</w:t>
            </w:r>
          </w:p>
        </w:tc>
      </w:tr>
      <w:tr w:rsidR="00B2576B" w:rsidRPr="00AC5747" w:rsidTr="00B2576B">
        <w:trPr>
          <w:jc w:val="center"/>
        </w:trPr>
        <w:tc>
          <w:tcPr>
            <w:tcW w:w="1849"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Schedule A</w:t>
            </w:r>
          </w:p>
        </w:tc>
        <w:tc>
          <w:tcPr>
            <w:tcW w:w="3382"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Capitalization rate; ROI (return on investment); Gross Rental Yield</w:t>
            </w:r>
          </w:p>
        </w:tc>
        <w:tc>
          <w:tcPr>
            <w:tcW w:w="3265"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Third party survey data, example: RealtyRates.com™ Investor Survey Cap Rate Indices</w:t>
            </w:r>
          </w:p>
        </w:tc>
      </w:tr>
      <w:tr w:rsidR="00B2576B" w:rsidRPr="00AC5747" w:rsidTr="00B2576B">
        <w:trPr>
          <w:jc w:val="center"/>
        </w:trPr>
        <w:tc>
          <w:tcPr>
            <w:tcW w:w="1849"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Schedule B</w:t>
            </w:r>
          </w:p>
        </w:tc>
        <w:tc>
          <w:tcPr>
            <w:tcW w:w="3382"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WAC</w:t>
            </w:r>
            <w:r w:rsidR="00906814" w:rsidRPr="00AC5747">
              <w:rPr>
                <w:rFonts w:ascii="Century Gothic" w:hAnsi="Century Gothic" w:cs="Times New Roman"/>
                <w:sz w:val="24"/>
                <w:szCs w:val="24"/>
              </w:rPr>
              <w:t xml:space="preserve"> </w:t>
            </w:r>
            <w:r w:rsidRPr="00AC5747">
              <w:rPr>
                <w:rFonts w:ascii="Century Gothic" w:hAnsi="Century Gothic" w:cs="Times New Roman"/>
                <w:sz w:val="24"/>
                <w:szCs w:val="24"/>
              </w:rPr>
              <w:t>(Weighted Average Coupon rate)</w:t>
            </w:r>
          </w:p>
        </w:tc>
        <w:tc>
          <w:tcPr>
            <w:tcW w:w="3265" w:type="dxa"/>
          </w:tcPr>
          <w:p w:rsidR="00B2576B" w:rsidRPr="00AC5747" w:rsidRDefault="00B2576B" w:rsidP="00CE151F">
            <w:pPr>
              <w:pStyle w:val="ListParagraph"/>
              <w:ind w:left="0"/>
              <w:rPr>
                <w:rFonts w:ascii="Century Gothic" w:hAnsi="Century Gothic" w:cs="Times New Roman"/>
                <w:sz w:val="24"/>
                <w:szCs w:val="24"/>
              </w:rPr>
            </w:pPr>
          </w:p>
        </w:tc>
      </w:tr>
      <w:tr w:rsidR="00B2576B" w:rsidRPr="00AC5747" w:rsidTr="00B2576B">
        <w:trPr>
          <w:jc w:val="center"/>
        </w:trPr>
        <w:tc>
          <w:tcPr>
            <w:tcW w:w="1849"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Schedule BA</w:t>
            </w:r>
          </w:p>
        </w:tc>
        <w:tc>
          <w:tcPr>
            <w:tcW w:w="3382"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IRR</w:t>
            </w:r>
            <w:r w:rsidR="00906814" w:rsidRPr="00AC5747">
              <w:rPr>
                <w:rFonts w:ascii="Century Gothic" w:hAnsi="Century Gothic" w:cs="Times New Roman"/>
                <w:sz w:val="24"/>
                <w:szCs w:val="24"/>
              </w:rPr>
              <w:t xml:space="preserve"> </w:t>
            </w:r>
            <w:r w:rsidRPr="00AC5747">
              <w:rPr>
                <w:rFonts w:ascii="Century Gothic" w:hAnsi="Century Gothic" w:cs="Times New Roman"/>
                <w:sz w:val="24"/>
                <w:szCs w:val="24"/>
              </w:rPr>
              <w:t>(internal rate of return)</w:t>
            </w:r>
          </w:p>
        </w:tc>
        <w:tc>
          <w:tcPr>
            <w:tcW w:w="3265" w:type="dxa"/>
          </w:tcPr>
          <w:p w:rsidR="00B2576B" w:rsidRPr="00AC5747" w:rsidRDefault="00B2576B" w:rsidP="003B0D62">
            <w:pPr>
              <w:pStyle w:val="ListParagraph"/>
              <w:ind w:left="0"/>
              <w:rPr>
                <w:rFonts w:ascii="Century Gothic" w:hAnsi="Century Gothic" w:cs="Times New Roman"/>
                <w:sz w:val="24"/>
                <w:szCs w:val="24"/>
              </w:rPr>
            </w:pPr>
            <w:r w:rsidRPr="00AC5747">
              <w:rPr>
                <w:rFonts w:ascii="Century Gothic" w:hAnsi="Century Gothic" w:cs="Times New Roman"/>
                <w:sz w:val="24"/>
                <w:szCs w:val="24"/>
              </w:rPr>
              <w:t xml:space="preserve">Peers group average (PE funds with same type, </w:t>
            </w:r>
            <w:r w:rsidRPr="00AC5747">
              <w:rPr>
                <w:rFonts w:ascii="Century Gothic" w:hAnsi="Century Gothic" w:cs="Times New Roman"/>
                <w:sz w:val="24"/>
                <w:szCs w:val="24"/>
              </w:rPr>
              <w:lastRenderedPageBreak/>
              <w:t>vintage year, geographic focus, etc.).  Data source: renowned third party data provider: Pitch Book, Preqin, Cambridge Associate, etc.</w:t>
            </w:r>
          </w:p>
        </w:tc>
      </w:tr>
      <w:tr w:rsidR="00B2576B" w:rsidRPr="00AC5747" w:rsidTr="00B2576B">
        <w:trPr>
          <w:jc w:val="center"/>
        </w:trPr>
        <w:tc>
          <w:tcPr>
            <w:tcW w:w="1849"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lastRenderedPageBreak/>
              <w:t>Schedule D</w:t>
            </w:r>
          </w:p>
        </w:tc>
        <w:tc>
          <w:tcPr>
            <w:tcW w:w="3382"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Bond :Annualized return, Coupon Rate; YTM(Yield to maturity calculated with current bond price)</w:t>
            </w:r>
          </w:p>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Stock: Annualized return; 10 years Historical price (can be shorter if there is no enough data);</w:t>
            </w:r>
          </w:p>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Coupon rate (for preferred stock)</w:t>
            </w:r>
          </w:p>
        </w:tc>
        <w:tc>
          <w:tcPr>
            <w:tcW w:w="3265"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Stock: Dow Jones Industrial Average; S&amp;P 500 index; Russell 200 index for small companies.</w:t>
            </w:r>
            <w:r w:rsidRPr="00AC5747">
              <w:rPr>
                <w:rFonts w:ascii="Century Gothic" w:hAnsi="Century Gothic" w:cs="Times New Roman"/>
                <w:sz w:val="24"/>
                <w:szCs w:val="24"/>
              </w:rPr>
              <w:br/>
            </w:r>
          </w:p>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Bonds: Barclays Capital Aggregate Bond Index</w:t>
            </w:r>
          </w:p>
        </w:tc>
      </w:tr>
      <w:tr w:rsidR="00B2576B" w:rsidRPr="00AC5747" w:rsidTr="00B2576B">
        <w:trPr>
          <w:jc w:val="center"/>
        </w:trPr>
        <w:tc>
          <w:tcPr>
            <w:tcW w:w="1849"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Schedule E</w:t>
            </w:r>
          </w:p>
        </w:tc>
        <w:tc>
          <w:tcPr>
            <w:tcW w:w="3382"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EAY(Effective annual yield)</w:t>
            </w:r>
          </w:p>
        </w:tc>
        <w:tc>
          <w:tcPr>
            <w:tcW w:w="3265" w:type="dxa"/>
          </w:tcPr>
          <w:p w:rsidR="00B2576B" w:rsidRPr="00AC5747" w:rsidRDefault="00B2576B" w:rsidP="00CE151F">
            <w:pPr>
              <w:pStyle w:val="ListParagraph"/>
              <w:ind w:left="0"/>
              <w:rPr>
                <w:rFonts w:ascii="Century Gothic" w:hAnsi="Century Gothic" w:cs="Times New Roman"/>
                <w:sz w:val="24"/>
                <w:szCs w:val="24"/>
              </w:rPr>
            </w:pPr>
            <w:r w:rsidRPr="00AC5747">
              <w:rPr>
                <w:rFonts w:ascii="Century Gothic" w:hAnsi="Century Gothic" w:cs="Times New Roman"/>
                <w:sz w:val="24"/>
                <w:szCs w:val="24"/>
              </w:rPr>
              <w:t>3 month Treasury yield</w:t>
            </w:r>
          </w:p>
        </w:tc>
      </w:tr>
    </w:tbl>
    <w:p w:rsidR="003B0D62" w:rsidRPr="005F3C42" w:rsidRDefault="003B0D62" w:rsidP="005F3C42">
      <w:pPr>
        <w:rPr>
          <w:rFonts w:ascii="Century Gothic" w:hAnsi="Century Gothic" w:cs="Times New Roman"/>
          <w:sz w:val="24"/>
        </w:rPr>
      </w:pPr>
    </w:p>
    <w:sectPr w:rsidR="003B0D62" w:rsidRPr="005F3C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9" w:rsidRDefault="002349E9" w:rsidP="00E42E0F">
      <w:pPr>
        <w:spacing w:after="0" w:line="240" w:lineRule="auto"/>
      </w:pPr>
      <w:r>
        <w:separator/>
      </w:r>
    </w:p>
  </w:endnote>
  <w:endnote w:type="continuationSeparator" w:id="0">
    <w:p w:rsidR="002349E9" w:rsidRDefault="002349E9" w:rsidP="00E4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9" w:rsidRPr="003E758E" w:rsidRDefault="002349E9">
    <w:pPr>
      <w:pStyle w:val="Footer"/>
      <w:pBdr>
        <w:top w:val="thinThickSmallGap" w:sz="24" w:space="1" w:color="622423" w:themeColor="accent2" w:themeShade="7F"/>
      </w:pBdr>
      <w:rPr>
        <w:rFonts w:ascii="Century Gothic" w:eastAsiaTheme="majorEastAsia" w:hAnsi="Century Gothic" w:cstheme="majorBidi"/>
        <w:sz w:val="20"/>
        <w:szCs w:val="20"/>
      </w:rPr>
    </w:pPr>
    <w:r w:rsidRPr="003E758E">
      <w:rPr>
        <w:rFonts w:ascii="Century Gothic" w:eastAsiaTheme="majorEastAsia" w:hAnsi="Century Gothic" w:cstheme="majorBidi"/>
        <w:sz w:val="20"/>
        <w:szCs w:val="20"/>
      </w:rPr>
      <w:ptab w:relativeTo="margin" w:alignment="right" w:leader="none"/>
    </w:r>
    <w:r w:rsidRPr="003E758E">
      <w:rPr>
        <w:rFonts w:ascii="Century Gothic" w:eastAsiaTheme="majorEastAsia" w:hAnsi="Century Gothic" w:cstheme="majorBidi"/>
        <w:sz w:val="20"/>
        <w:szCs w:val="20"/>
      </w:rPr>
      <w:t xml:space="preserve">Page </w:t>
    </w:r>
    <w:r w:rsidRPr="003E758E">
      <w:rPr>
        <w:rFonts w:ascii="Century Gothic" w:hAnsi="Century Gothic"/>
        <w:sz w:val="20"/>
        <w:szCs w:val="20"/>
      </w:rPr>
      <w:fldChar w:fldCharType="begin"/>
    </w:r>
    <w:r w:rsidRPr="003E758E">
      <w:rPr>
        <w:rFonts w:ascii="Century Gothic" w:hAnsi="Century Gothic"/>
        <w:sz w:val="20"/>
        <w:szCs w:val="20"/>
      </w:rPr>
      <w:instrText xml:space="preserve"> PAGE   \* MERGEFORMAT </w:instrText>
    </w:r>
    <w:r w:rsidRPr="003E758E">
      <w:rPr>
        <w:rFonts w:ascii="Century Gothic" w:hAnsi="Century Gothic"/>
        <w:sz w:val="20"/>
        <w:szCs w:val="20"/>
      </w:rPr>
      <w:fldChar w:fldCharType="separate"/>
    </w:r>
    <w:r w:rsidR="00DA48A3" w:rsidRPr="00DA48A3">
      <w:rPr>
        <w:rFonts w:ascii="Century Gothic" w:eastAsiaTheme="majorEastAsia" w:hAnsi="Century Gothic" w:cstheme="majorBidi"/>
        <w:noProof/>
        <w:sz w:val="20"/>
        <w:szCs w:val="20"/>
      </w:rPr>
      <w:t>22</w:t>
    </w:r>
    <w:r w:rsidRPr="003E758E">
      <w:rPr>
        <w:rFonts w:ascii="Century Gothic" w:eastAsiaTheme="majorEastAsia" w:hAnsi="Century Gothic" w:cstheme="majorBidi"/>
        <w:noProof/>
        <w:sz w:val="20"/>
        <w:szCs w:val="20"/>
      </w:rPr>
      <w:fldChar w:fldCharType="end"/>
    </w:r>
  </w:p>
  <w:p w:rsidR="002349E9" w:rsidRDefault="00234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9" w:rsidRDefault="002349E9" w:rsidP="00E42E0F">
      <w:pPr>
        <w:spacing w:after="0" w:line="240" w:lineRule="auto"/>
      </w:pPr>
      <w:r>
        <w:separator/>
      </w:r>
    </w:p>
  </w:footnote>
  <w:footnote w:type="continuationSeparator" w:id="0">
    <w:p w:rsidR="002349E9" w:rsidRDefault="002349E9" w:rsidP="00E42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9" w:rsidRPr="00F27C9A" w:rsidRDefault="002349E9">
    <w:pPr>
      <w:pStyle w:val="Header"/>
      <w:rPr>
        <w:rFonts w:ascii="Century Gothic" w:hAnsi="Century Gothic" w:cs="Times New Roman"/>
        <w:sz w:val="18"/>
        <w:szCs w:val="18"/>
      </w:rPr>
    </w:pPr>
    <w:r w:rsidRPr="003E758E">
      <w:rPr>
        <w:rFonts w:ascii="Century Gothic" w:hAnsi="Century Gothic" w:cs="Times New Roman"/>
        <w:sz w:val="18"/>
        <w:szCs w:val="18"/>
      </w:rPr>
      <w:t>California Department of Insurance</w:t>
    </w:r>
    <w:r w:rsidRPr="003E758E">
      <w:rPr>
        <w:rFonts w:ascii="Century Gothic" w:hAnsi="Century Gothic" w:cs="Times New Roman"/>
        <w:sz w:val="18"/>
        <w:szCs w:val="18"/>
      </w:rPr>
      <w:ptab w:relativeTo="margin" w:alignment="center" w:leader="none"/>
    </w:r>
    <w:r w:rsidRPr="003E758E">
      <w:rPr>
        <w:rFonts w:ascii="Century Gothic" w:hAnsi="Century Gothic" w:cs="Times New Roman"/>
        <w:sz w:val="18"/>
        <w:szCs w:val="18"/>
      </w:rPr>
      <w:ptab w:relativeTo="margin" w:alignment="right" w:leader="none"/>
    </w:r>
    <w:r w:rsidRPr="003E758E">
      <w:rPr>
        <w:rFonts w:ascii="Century Gothic" w:hAnsi="Century Gothic" w:cs="Times New Roman"/>
        <w:sz w:val="18"/>
        <w:szCs w:val="18"/>
      </w:rPr>
      <w:t xml:space="preserve">        California Org</w:t>
    </w:r>
    <w:r>
      <w:rPr>
        <w:rFonts w:ascii="Century Gothic" w:hAnsi="Century Gothic" w:cs="Times New Roman"/>
        <w:sz w:val="18"/>
        <w:szCs w:val="18"/>
      </w:rPr>
      <w:t>anized Investment Network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03C"/>
    <w:multiLevelType w:val="hybridMultilevel"/>
    <w:tmpl w:val="DEE699CC"/>
    <w:lvl w:ilvl="0" w:tplc="9524E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311"/>
    <w:multiLevelType w:val="hybridMultilevel"/>
    <w:tmpl w:val="7FA8AFE4"/>
    <w:lvl w:ilvl="0" w:tplc="6BA86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C0E9F"/>
    <w:multiLevelType w:val="hybridMultilevel"/>
    <w:tmpl w:val="4448D6C4"/>
    <w:lvl w:ilvl="0" w:tplc="FFFFFFFF">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F5306"/>
    <w:multiLevelType w:val="hybridMultilevel"/>
    <w:tmpl w:val="E7728EF4"/>
    <w:lvl w:ilvl="0" w:tplc="DE2855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1D39"/>
    <w:multiLevelType w:val="hybridMultilevel"/>
    <w:tmpl w:val="783C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97155"/>
    <w:multiLevelType w:val="hybridMultilevel"/>
    <w:tmpl w:val="0E786B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2532FC"/>
    <w:multiLevelType w:val="hybridMultilevel"/>
    <w:tmpl w:val="5AAAA850"/>
    <w:lvl w:ilvl="0" w:tplc="8F809D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152FC"/>
    <w:multiLevelType w:val="hybridMultilevel"/>
    <w:tmpl w:val="4E3A6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5340C"/>
    <w:multiLevelType w:val="hybridMultilevel"/>
    <w:tmpl w:val="EE34E6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D28B1"/>
    <w:multiLevelType w:val="hybridMultilevel"/>
    <w:tmpl w:val="8922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C0138"/>
    <w:multiLevelType w:val="hybridMultilevel"/>
    <w:tmpl w:val="D124E6F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E794A"/>
    <w:multiLevelType w:val="hybridMultilevel"/>
    <w:tmpl w:val="A8684C4C"/>
    <w:lvl w:ilvl="0" w:tplc="FD8229B6">
      <w:numFmt w:val="bullet"/>
      <w:lvlText w:val="•"/>
      <w:lvlJc w:val="left"/>
      <w:pPr>
        <w:ind w:left="1080" w:hanging="720"/>
      </w:pPr>
      <w:rPr>
        <w:rFonts w:ascii="Century Gothic" w:eastAsiaTheme="minorEastAsia"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53A01"/>
    <w:multiLevelType w:val="hybridMultilevel"/>
    <w:tmpl w:val="F86E410C"/>
    <w:lvl w:ilvl="0" w:tplc="04090015">
      <w:start w:val="1"/>
      <w:numFmt w:val="upperLetter"/>
      <w:lvlText w:val="%1."/>
      <w:lvlJc w:val="left"/>
      <w:pPr>
        <w:ind w:left="720" w:hanging="360"/>
      </w:pPr>
      <w:rPr>
        <w:rFonts w:hint="default"/>
      </w:rPr>
    </w:lvl>
    <w:lvl w:ilvl="1" w:tplc="E33065D6">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77DA0"/>
    <w:multiLevelType w:val="hybridMultilevel"/>
    <w:tmpl w:val="3662AC4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A44B9F"/>
    <w:multiLevelType w:val="hybridMultilevel"/>
    <w:tmpl w:val="54F012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F7B1B"/>
    <w:multiLevelType w:val="hybridMultilevel"/>
    <w:tmpl w:val="D0980E1C"/>
    <w:lvl w:ilvl="0" w:tplc="04090013">
      <w:start w:val="1"/>
      <w:numFmt w:val="upperRoman"/>
      <w:lvlText w:val="%1."/>
      <w:lvlJc w:val="right"/>
      <w:pPr>
        <w:ind w:left="720" w:hanging="360"/>
      </w:pPr>
      <w:rPr>
        <w:rFonts w:hint="default"/>
      </w:rPr>
    </w:lvl>
    <w:lvl w:ilvl="1" w:tplc="E33065D6">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6019B"/>
    <w:multiLevelType w:val="hybridMultilevel"/>
    <w:tmpl w:val="7722B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06392"/>
    <w:multiLevelType w:val="hybridMultilevel"/>
    <w:tmpl w:val="EED4CA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D4262"/>
    <w:multiLevelType w:val="hybridMultilevel"/>
    <w:tmpl w:val="03BA758C"/>
    <w:lvl w:ilvl="0" w:tplc="8342D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D7CF9"/>
    <w:multiLevelType w:val="hybridMultilevel"/>
    <w:tmpl w:val="7FA8AFE4"/>
    <w:lvl w:ilvl="0" w:tplc="6BA86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33777"/>
    <w:multiLevelType w:val="hybridMultilevel"/>
    <w:tmpl w:val="30745F02"/>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6FE1A61"/>
    <w:multiLevelType w:val="hybridMultilevel"/>
    <w:tmpl w:val="7142537C"/>
    <w:lvl w:ilvl="0" w:tplc="E300F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47180"/>
    <w:multiLevelType w:val="hybridMultilevel"/>
    <w:tmpl w:val="2E3C20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F03CD"/>
    <w:multiLevelType w:val="hybridMultilevel"/>
    <w:tmpl w:val="16AAF1B2"/>
    <w:lvl w:ilvl="0" w:tplc="FD8229B6">
      <w:numFmt w:val="bullet"/>
      <w:lvlText w:val="•"/>
      <w:lvlJc w:val="left"/>
      <w:pPr>
        <w:ind w:left="720" w:hanging="360"/>
      </w:pPr>
      <w:rPr>
        <w:rFonts w:ascii="Century Gothic" w:eastAsiaTheme="minorEastAsia"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A3CFA"/>
    <w:multiLevelType w:val="hybridMultilevel"/>
    <w:tmpl w:val="210E64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94EAA"/>
    <w:multiLevelType w:val="hybridMultilevel"/>
    <w:tmpl w:val="28EC5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634DB"/>
    <w:multiLevelType w:val="hybridMultilevel"/>
    <w:tmpl w:val="4B5C58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7D7B5D"/>
    <w:multiLevelType w:val="hybridMultilevel"/>
    <w:tmpl w:val="CA14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A21A2"/>
    <w:multiLevelType w:val="hybridMultilevel"/>
    <w:tmpl w:val="4E3A6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D52DB"/>
    <w:multiLevelType w:val="hybridMultilevel"/>
    <w:tmpl w:val="E686437C"/>
    <w:lvl w:ilvl="0" w:tplc="7D689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7"/>
  </w:num>
  <w:num w:numId="4">
    <w:abstractNumId w:val="26"/>
  </w:num>
  <w:num w:numId="5">
    <w:abstractNumId w:val="13"/>
  </w:num>
  <w:num w:numId="6">
    <w:abstractNumId w:val="20"/>
  </w:num>
  <w:num w:numId="7">
    <w:abstractNumId w:val="22"/>
  </w:num>
  <w:num w:numId="8">
    <w:abstractNumId w:val="8"/>
  </w:num>
  <w:num w:numId="9">
    <w:abstractNumId w:val="4"/>
  </w:num>
  <w:num w:numId="10">
    <w:abstractNumId w:val="12"/>
  </w:num>
  <w:num w:numId="11">
    <w:abstractNumId w:val="2"/>
  </w:num>
  <w:num w:numId="12">
    <w:abstractNumId w:val="24"/>
  </w:num>
  <w:num w:numId="13">
    <w:abstractNumId w:val="15"/>
  </w:num>
  <w:num w:numId="14">
    <w:abstractNumId w:val="6"/>
  </w:num>
  <w:num w:numId="15">
    <w:abstractNumId w:val="19"/>
  </w:num>
  <w:num w:numId="16">
    <w:abstractNumId w:val="18"/>
  </w:num>
  <w:num w:numId="17">
    <w:abstractNumId w:val="3"/>
  </w:num>
  <w:num w:numId="18">
    <w:abstractNumId w:val="29"/>
  </w:num>
  <w:num w:numId="19">
    <w:abstractNumId w:val="27"/>
  </w:num>
  <w:num w:numId="20">
    <w:abstractNumId w:val="11"/>
  </w:num>
  <w:num w:numId="21">
    <w:abstractNumId w:val="10"/>
  </w:num>
  <w:num w:numId="22">
    <w:abstractNumId w:val="23"/>
  </w:num>
  <w:num w:numId="23">
    <w:abstractNumId w:val="9"/>
  </w:num>
  <w:num w:numId="24">
    <w:abstractNumId w:val="14"/>
  </w:num>
  <w:num w:numId="25">
    <w:abstractNumId w:val="0"/>
  </w:num>
  <w:num w:numId="26">
    <w:abstractNumId w:val="21"/>
  </w:num>
  <w:num w:numId="27">
    <w:abstractNumId w:val="17"/>
  </w:num>
  <w:num w:numId="28">
    <w:abstractNumId w:val="5"/>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CB"/>
    <w:rsid w:val="00034012"/>
    <w:rsid w:val="00062291"/>
    <w:rsid w:val="00070072"/>
    <w:rsid w:val="000754F3"/>
    <w:rsid w:val="000820FD"/>
    <w:rsid w:val="000B2011"/>
    <w:rsid w:val="000F255C"/>
    <w:rsid w:val="000F627B"/>
    <w:rsid w:val="00101C5C"/>
    <w:rsid w:val="00112DCF"/>
    <w:rsid w:val="0015017C"/>
    <w:rsid w:val="00163764"/>
    <w:rsid w:val="00164AA5"/>
    <w:rsid w:val="0018695D"/>
    <w:rsid w:val="001B3855"/>
    <w:rsid w:val="001B3C6D"/>
    <w:rsid w:val="00201C2B"/>
    <w:rsid w:val="002051ED"/>
    <w:rsid w:val="002135D6"/>
    <w:rsid w:val="00230638"/>
    <w:rsid w:val="00231CBB"/>
    <w:rsid w:val="00233564"/>
    <w:rsid w:val="002349E9"/>
    <w:rsid w:val="002572F9"/>
    <w:rsid w:val="0025792C"/>
    <w:rsid w:val="00262C2F"/>
    <w:rsid w:val="00264594"/>
    <w:rsid w:val="002700E2"/>
    <w:rsid w:val="00281A95"/>
    <w:rsid w:val="002B1F5A"/>
    <w:rsid w:val="002B3D96"/>
    <w:rsid w:val="002D2740"/>
    <w:rsid w:val="002D3E09"/>
    <w:rsid w:val="002E0DB9"/>
    <w:rsid w:val="002E1028"/>
    <w:rsid w:val="002E6A40"/>
    <w:rsid w:val="002F2204"/>
    <w:rsid w:val="002F4ECB"/>
    <w:rsid w:val="00325299"/>
    <w:rsid w:val="00360300"/>
    <w:rsid w:val="00367919"/>
    <w:rsid w:val="003A0D27"/>
    <w:rsid w:val="003B0D62"/>
    <w:rsid w:val="003D21E0"/>
    <w:rsid w:val="003E23E5"/>
    <w:rsid w:val="003E758E"/>
    <w:rsid w:val="003F38A3"/>
    <w:rsid w:val="004003FF"/>
    <w:rsid w:val="00423454"/>
    <w:rsid w:val="004514AE"/>
    <w:rsid w:val="00451F40"/>
    <w:rsid w:val="00462D1A"/>
    <w:rsid w:val="004815FF"/>
    <w:rsid w:val="00481A83"/>
    <w:rsid w:val="004C4E25"/>
    <w:rsid w:val="004E0A85"/>
    <w:rsid w:val="004F4953"/>
    <w:rsid w:val="005164A4"/>
    <w:rsid w:val="00531CEF"/>
    <w:rsid w:val="00555E19"/>
    <w:rsid w:val="005860EE"/>
    <w:rsid w:val="005939BA"/>
    <w:rsid w:val="005D1F4E"/>
    <w:rsid w:val="005D7510"/>
    <w:rsid w:val="005E71C1"/>
    <w:rsid w:val="005F3C42"/>
    <w:rsid w:val="00643770"/>
    <w:rsid w:val="006628AD"/>
    <w:rsid w:val="00666F9B"/>
    <w:rsid w:val="0067553D"/>
    <w:rsid w:val="006A13A6"/>
    <w:rsid w:val="006A1F5F"/>
    <w:rsid w:val="006F3DAD"/>
    <w:rsid w:val="007265A0"/>
    <w:rsid w:val="007273E7"/>
    <w:rsid w:val="00730952"/>
    <w:rsid w:val="00731522"/>
    <w:rsid w:val="00750B25"/>
    <w:rsid w:val="00765FAC"/>
    <w:rsid w:val="00774924"/>
    <w:rsid w:val="00775B70"/>
    <w:rsid w:val="007814F4"/>
    <w:rsid w:val="007A0230"/>
    <w:rsid w:val="007A117B"/>
    <w:rsid w:val="007B1D9E"/>
    <w:rsid w:val="007B6C07"/>
    <w:rsid w:val="007C2584"/>
    <w:rsid w:val="0083070C"/>
    <w:rsid w:val="00844B6A"/>
    <w:rsid w:val="008745A9"/>
    <w:rsid w:val="00876EED"/>
    <w:rsid w:val="00881FC0"/>
    <w:rsid w:val="008A2E03"/>
    <w:rsid w:val="008C4A7C"/>
    <w:rsid w:val="008F56B8"/>
    <w:rsid w:val="00906814"/>
    <w:rsid w:val="0091326B"/>
    <w:rsid w:val="009139C2"/>
    <w:rsid w:val="009667C4"/>
    <w:rsid w:val="00967500"/>
    <w:rsid w:val="009706F3"/>
    <w:rsid w:val="00971951"/>
    <w:rsid w:val="00986111"/>
    <w:rsid w:val="0099196E"/>
    <w:rsid w:val="0099370B"/>
    <w:rsid w:val="009A60A2"/>
    <w:rsid w:val="009F442D"/>
    <w:rsid w:val="00A17DC4"/>
    <w:rsid w:val="00A308DF"/>
    <w:rsid w:val="00A320B6"/>
    <w:rsid w:val="00A53E00"/>
    <w:rsid w:val="00A61F2F"/>
    <w:rsid w:val="00A80029"/>
    <w:rsid w:val="00A83B9B"/>
    <w:rsid w:val="00AB013E"/>
    <w:rsid w:val="00AB621E"/>
    <w:rsid w:val="00AC53C1"/>
    <w:rsid w:val="00AC5747"/>
    <w:rsid w:val="00B15883"/>
    <w:rsid w:val="00B15932"/>
    <w:rsid w:val="00B2412C"/>
    <w:rsid w:val="00B2576B"/>
    <w:rsid w:val="00B3106A"/>
    <w:rsid w:val="00B32D72"/>
    <w:rsid w:val="00B36873"/>
    <w:rsid w:val="00B4763B"/>
    <w:rsid w:val="00B53CCE"/>
    <w:rsid w:val="00B63C9D"/>
    <w:rsid w:val="00B65344"/>
    <w:rsid w:val="00B66BEF"/>
    <w:rsid w:val="00B8415D"/>
    <w:rsid w:val="00BA20AA"/>
    <w:rsid w:val="00BA609F"/>
    <w:rsid w:val="00BC20EF"/>
    <w:rsid w:val="00BC29B5"/>
    <w:rsid w:val="00BC696D"/>
    <w:rsid w:val="00BD1508"/>
    <w:rsid w:val="00BE53B3"/>
    <w:rsid w:val="00BE6FB5"/>
    <w:rsid w:val="00BF6C66"/>
    <w:rsid w:val="00BF74C4"/>
    <w:rsid w:val="00BF77AF"/>
    <w:rsid w:val="00C038E2"/>
    <w:rsid w:val="00C0744F"/>
    <w:rsid w:val="00C4104D"/>
    <w:rsid w:val="00C44C0D"/>
    <w:rsid w:val="00C52EBF"/>
    <w:rsid w:val="00C739CD"/>
    <w:rsid w:val="00C77F0D"/>
    <w:rsid w:val="00C8196F"/>
    <w:rsid w:val="00CA741B"/>
    <w:rsid w:val="00CA7B7A"/>
    <w:rsid w:val="00CC4535"/>
    <w:rsid w:val="00CD3F30"/>
    <w:rsid w:val="00CD5879"/>
    <w:rsid w:val="00CE151F"/>
    <w:rsid w:val="00CE25F6"/>
    <w:rsid w:val="00CE2601"/>
    <w:rsid w:val="00CE44E3"/>
    <w:rsid w:val="00CE5729"/>
    <w:rsid w:val="00CF5A98"/>
    <w:rsid w:val="00D4148D"/>
    <w:rsid w:val="00D46F54"/>
    <w:rsid w:val="00D823B7"/>
    <w:rsid w:val="00D82853"/>
    <w:rsid w:val="00D862D3"/>
    <w:rsid w:val="00DA48A3"/>
    <w:rsid w:val="00DB2F97"/>
    <w:rsid w:val="00DB6022"/>
    <w:rsid w:val="00DC7480"/>
    <w:rsid w:val="00DE4DF8"/>
    <w:rsid w:val="00DE4E89"/>
    <w:rsid w:val="00DE6EF0"/>
    <w:rsid w:val="00E140AA"/>
    <w:rsid w:val="00E37193"/>
    <w:rsid w:val="00E42E0F"/>
    <w:rsid w:val="00E65AF4"/>
    <w:rsid w:val="00E7086A"/>
    <w:rsid w:val="00E8360F"/>
    <w:rsid w:val="00EA48E1"/>
    <w:rsid w:val="00EB7127"/>
    <w:rsid w:val="00EB7BDF"/>
    <w:rsid w:val="00EC1772"/>
    <w:rsid w:val="00ED5FEC"/>
    <w:rsid w:val="00EE6ECC"/>
    <w:rsid w:val="00EF6656"/>
    <w:rsid w:val="00F04797"/>
    <w:rsid w:val="00F07ECB"/>
    <w:rsid w:val="00F27C9A"/>
    <w:rsid w:val="00F56A5E"/>
    <w:rsid w:val="00F61371"/>
    <w:rsid w:val="00F760D6"/>
    <w:rsid w:val="00F87A7D"/>
    <w:rsid w:val="00FA7698"/>
    <w:rsid w:val="00FC55A8"/>
    <w:rsid w:val="00FD19D9"/>
    <w:rsid w:val="00FD1BED"/>
    <w:rsid w:val="00FE247E"/>
    <w:rsid w:val="00FF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63AC5B-C8E1-4AE7-A4E0-AD736E1F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E1"/>
  </w:style>
  <w:style w:type="paragraph" w:styleId="Heading1">
    <w:name w:val="heading 1"/>
    <w:basedOn w:val="BodyText"/>
    <w:next w:val="BodyText"/>
    <w:link w:val="Heading1Char"/>
    <w:uiPriority w:val="9"/>
    <w:qFormat/>
    <w:rsid w:val="00EA48E1"/>
    <w:pPr>
      <w:spacing w:before="480" w:line="360" w:lineRule="auto"/>
      <w:contextualSpacing/>
      <w:jc w:val="center"/>
      <w:outlineLvl w:val="0"/>
    </w:pPr>
    <w:rPr>
      <w:rFonts w:ascii="Times New Roman" w:eastAsiaTheme="majorEastAsia" w:hAnsi="Times New Roman" w:cstheme="majorBidi"/>
      <w:b/>
      <w:bCs/>
      <w:i w:val="0"/>
      <w:sz w:val="28"/>
      <w:szCs w:val="28"/>
    </w:rPr>
  </w:style>
  <w:style w:type="paragraph" w:styleId="Heading2">
    <w:name w:val="heading 2"/>
    <w:basedOn w:val="Normal"/>
    <w:next w:val="Normal"/>
    <w:link w:val="Heading2Char"/>
    <w:uiPriority w:val="9"/>
    <w:semiHidden/>
    <w:unhideWhenUsed/>
    <w:qFormat/>
    <w:rsid w:val="00EA48E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48E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48E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48E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48E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48E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48E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48E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6D"/>
    <w:rPr>
      <w:rFonts w:ascii="Tahoma" w:hAnsi="Tahoma" w:cs="Tahoma"/>
      <w:sz w:val="16"/>
      <w:szCs w:val="16"/>
    </w:rPr>
  </w:style>
  <w:style w:type="character" w:customStyle="1" w:styleId="Heading3Char">
    <w:name w:val="Heading 3 Char"/>
    <w:basedOn w:val="DefaultParagraphFont"/>
    <w:link w:val="Heading3"/>
    <w:uiPriority w:val="9"/>
    <w:rsid w:val="00EA48E1"/>
    <w:rPr>
      <w:rFonts w:asciiTheme="majorHAnsi" w:eastAsiaTheme="majorEastAsia" w:hAnsiTheme="majorHAnsi" w:cstheme="majorBidi"/>
      <w:b/>
      <w:bCs/>
    </w:rPr>
  </w:style>
  <w:style w:type="paragraph" w:customStyle="1" w:styleId="Default">
    <w:name w:val="Default"/>
    <w:rsid w:val="00844B6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5A98"/>
    <w:rPr>
      <w:color w:val="0000FF" w:themeColor="hyperlink"/>
      <w:u w:val="single"/>
    </w:rPr>
  </w:style>
  <w:style w:type="paragraph" w:styleId="ListParagraph">
    <w:name w:val="List Paragraph"/>
    <w:basedOn w:val="Normal"/>
    <w:uiPriority w:val="34"/>
    <w:qFormat/>
    <w:rsid w:val="00EA48E1"/>
    <w:pPr>
      <w:ind w:left="720"/>
      <w:contextualSpacing/>
    </w:pPr>
  </w:style>
  <w:style w:type="paragraph" w:styleId="NoSpacing">
    <w:name w:val="No Spacing"/>
    <w:basedOn w:val="Normal"/>
    <w:uiPriority w:val="1"/>
    <w:qFormat/>
    <w:rsid w:val="00EA48E1"/>
    <w:pPr>
      <w:spacing w:after="0" w:line="240" w:lineRule="auto"/>
    </w:pPr>
  </w:style>
  <w:style w:type="paragraph" w:styleId="BodyText">
    <w:name w:val="Body Text"/>
    <w:basedOn w:val="Normal"/>
    <w:link w:val="BodyTextChar"/>
    <w:rsid w:val="00CE151F"/>
    <w:pPr>
      <w:widowControl w:val="0"/>
      <w:adjustRightInd w:val="0"/>
      <w:spacing w:after="0" w:line="360" w:lineRule="atLeast"/>
      <w:jc w:val="both"/>
      <w:textAlignment w:val="baseline"/>
    </w:pPr>
    <w:rPr>
      <w:rFonts w:ascii="Bookman Old Style" w:eastAsia="Times New Roman" w:hAnsi="Bookman Old Style" w:cs="Times New Roman"/>
      <w:i/>
      <w:snapToGrid w:val="0"/>
      <w:sz w:val="20"/>
      <w:szCs w:val="20"/>
    </w:rPr>
  </w:style>
  <w:style w:type="character" w:customStyle="1" w:styleId="BodyTextChar">
    <w:name w:val="Body Text Char"/>
    <w:basedOn w:val="DefaultParagraphFont"/>
    <w:link w:val="BodyText"/>
    <w:rsid w:val="00CE151F"/>
    <w:rPr>
      <w:rFonts w:ascii="Bookman Old Style" w:eastAsia="Times New Roman" w:hAnsi="Bookman Old Style" w:cs="Times New Roman"/>
      <w:i/>
      <w:snapToGrid w:val="0"/>
      <w:sz w:val="20"/>
      <w:szCs w:val="20"/>
    </w:rPr>
  </w:style>
  <w:style w:type="table" w:styleId="TableGrid">
    <w:name w:val="Table Grid"/>
    <w:basedOn w:val="TableNormal"/>
    <w:uiPriority w:val="59"/>
    <w:rsid w:val="0072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265A0"/>
    <w:pPr>
      <w:spacing w:after="120" w:line="480" w:lineRule="auto"/>
    </w:pPr>
  </w:style>
  <w:style w:type="character" w:customStyle="1" w:styleId="BodyText2Char">
    <w:name w:val="Body Text 2 Char"/>
    <w:basedOn w:val="DefaultParagraphFont"/>
    <w:link w:val="BodyText2"/>
    <w:uiPriority w:val="99"/>
    <w:semiHidden/>
    <w:rsid w:val="007265A0"/>
  </w:style>
  <w:style w:type="character" w:customStyle="1" w:styleId="Heading1Char">
    <w:name w:val="Heading 1 Char"/>
    <w:basedOn w:val="DefaultParagraphFont"/>
    <w:link w:val="Heading1"/>
    <w:uiPriority w:val="9"/>
    <w:rsid w:val="00EA48E1"/>
    <w:rPr>
      <w:rFonts w:ascii="Times New Roman" w:eastAsiaTheme="majorEastAsia" w:hAnsi="Times New Roman" w:cstheme="majorBidi"/>
      <w:b/>
      <w:bCs/>
      <w:snapToGrid w:val="0"/>
      <w:sz w:val="28"/>
      <w:szCs w:val="28"/>
    </w:rPr>
  </w:style>
  <w:style w:type="paragraph" w:styleId="Header">
    <w:name w:val="header"/>
    <w:basedOn w:val="Normal"/>
    <w:link w:val="HeaderChar"/>
    <w:uiPriority w:val="99"/>
    <w:unhideWhenUsed/>
    <w:rsid w:val="00E42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0F"/>
  </w:style>
  <w:style w:type="paragraph" w:styleId="Footer">
    <w:name w:val="footer"/>
    <w:basedOn w:val="Normal"/>
    <w:link w:val="FooterChar"/>
    <w:uiPriority w:val="99"/>
    <w:unhideWhenUsed/>
    <w:rsid w:val="00E42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0F"/>
  </w:style>
  <w:style w:type="character" w:styleId="FollowedHyperlink">
    <w:name w:val="FollowedHyperlink"/>
    <w:basedOn w:val="DefaultParagraphFont"/>
    <w:uiPriority w:val="99"/>
    <w:semiHidden/>
    <w:unhideWhenUsed/>
    <w:rsid w:val="00BA609F"/>
    <w:rPr>
      <w:color w:val="800080" w:themeColor="followedHyperlink"/>
      <w:u w:val="single"/>
    </w:rPr>
  </w:style>
  <w:style w:type="paragraph" w:styleId="TOCHeading">
    <w:name w:val="TOC Heading"/>
    <w:basedOn w:val="Heading1"/>
    <w:next w:val="Normal"/>
    <w:uiPriority w:val="39"/>
    <w:semiHidden/>
    <w:unhideWhenUsed/>
    <w:qFormat/>
    <w:rsid w:val="00EA48E1"/>
    <w:pPr>
      <w:outlineLvl w:val="9"/>
    </w:pPr>
    <w:rPr>
      <w:lang w:bidi="en-US"/>
    </w:rPr>
  </w:style>
  <w:style w:type="paragraph" w:styleId="TOC3">
    <w:name w:val="toc 3"/>
    <w:basedOn w:val="Normal"/>
    <w:next w:val="Normal"/>
    <w:autoRedefine/>
    <w:uiPriority w:val="39"/>
    <w:unhideWhenUsed/>
    <w:rsid w:val="00112DCF"/>
    <w:pPr>
      <w:spacing w:after="100"/>
      <w:ind w:left="440"/>
    </w:pPr>
  </w:style>
  <w:style w:type="character" w:customStyle="1" w:styleId="Heading2Char">
    <w:name w:val="Heading 2 Char"/>
    <w:basedOn w:val="DefaultParagraphFont"/>
    <w:link w:val="Heading2"/>
    <w:uiPriority w:val="9"/>
    <w:semiHidden/>
    <w:rsid w:val="00EA48E1"/>
    <w:rPr>
      <w:rFonts w:asciiTheme="majorHAnsi" w:eastAsiaTheme="majorEastAsia" w:hAnsiTheme="majorHAnsi" w:cstheme="majorBidi"/>
      <w:b/>
      <w:bCs/>
      <w:sz w:val="26"/>
      <w:szCs w:val="26"/>
    </w:rPr>
  </w:style>
  <w:style w:type="paragraph" w:styleId="TOC1">
    <w:name w:val="toc 1"/>
    <w:basedOn w:val="Normal"/>
    <w:next w:val="Normal"/>
    <w:autoRedefine/>
    <w:uiPriority w:val="39"/>
    <w:unhideWhenUsed/>
    <w:rsid w:val="00555E19"/>
    <w:pPr>
      <w:tabs>
        <w:tab w:val="left" w:pos="720"/>
        <w:tab w:val="right" w:leader="dot" w:pos="9350"/>
      </w:tabs>
      <w:spacing w:after="100"/>
    </w:pPr>
    <w:rPr>
      <w:rFonts w:ascii="Century Gothic" w:hAnsi="Century Gothic"/>
      <w:sz w:val="24"/>
      <w:szCs w:val="24"/>
    </w:rPr>
  </w:style>
  <w:style w:type="character" w:customStyle="1" w:styleId="Heading4Char">
    <w:name w:val="Heading 4 Char"/>
    <w:basedOn w:val="DefaultParagraphFont"/>
    <w:link w:val="Heading4"/>
    <w:uiPriority w:val="9"/>
    <w:semiHidden/>
    <w:rsid w:val="00EA48E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48E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48E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48E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48E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48E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48E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48E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48E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48E1"/>
    <w:rPr>
      <w:rFonts w:asciiTheme="majorHAnsi" w:eastAsiaTheme="majorEastAsia" w:hAnsiTheme="majorHAnsi" w:cstheme="majorBidi"/>
      <w:i/>
      <w:iCs/>
      <w:spacing w:val="13"/>
      <w:sz w:val="24"/>
      <w:szCs w:val="24"/>
    </w:rPr>
  </w:style>
  <w:style w:type="character" w:styleId="Strong">
    <w:name w:val="Strong"/>
    <w:uiPriority w:val="22"/>
    <w:qFormat/>
    <w:rsid w:val="00EA48E1"/>
    <w:rPr>
      <w:b/>
      <w:bCs/>
    </w:rPr>
  </w:style>
  <w:style w:type="character" w:styleId="Emphasis">
    <w:name w:val="Emphasis"/>
    <w:uiPriority w:val="20"/>
    <w:qFormat/>
    <w:rsid w:val="00EA48E1"/>
    <w:rPr>
      <w:b/>
      <w:bCs/>
      <w:i/>
      <w:iCs/>
      <w:spacing w:val="10"/>
      <w:bdr w:val="none" w:sz="0" w:space="0" w:color="auto"/>
      <w:shd w:val="clear" w:color="auto" w:fill="auto"/>
    </w:rPr>
  </w:style>
  <w:style w:type="paragraph" w:styleId="Quote">
    <w:name w:val="Quote"/>
    <w:basedOn w:val="Normal"/>
    <w:next w:val="Normal"/>
    <w:link w:val="QuoteChar"/>
    <w:uiPriority w:val="29"/>
    <w:qFormat/>
    <w:rsid w:val="00EA48E1"/>
    <w:pPr>
      <w:spacing w:before="200" w:after="0"/>
      <w:ind w:left="360" w:right="360"/>
    </w:pPr>
    <w:rPr>
      <w:i/>
      <w:iCs/>
    </w:rPr>
  </w:style>
  <w:style w:type="character" w:customStyle="1" w:styleId="QuoteChar">
    <w:name w:val="Quote Char"/>
    <w:basedOn w:val="DefaultParagraphFont"/>
    <w:link w:val="Quote"/>
    <w:uiPriority w:val="29"/>
    <w:rsid w:val="00EA48E1"/>
    <w:rPr>
      <w:i/>
      <w:iCs/>
    </w:rPr>
  </w:style>
  <w:style w:type="paragraph" w:styleId="IntenseQuote">
    <w:name w:val="Intense Quote"/>
    <w:basedOn w:val="Normal"/>
    <w:next w:val="Normal"/>
    <w:link w:val="IntenseQuoteChar"/>
    <w:uiPriority w:val="30"/>
    <w:qFormat/>
    <w:rsid w:val="00EA48E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48E1"/>
    <w:rPr>
      <w:b/>
      <w:bCs/>
      <w:i/>
      <w:iCs/>
    </w:rPr>
  </w:style>
  <w:style w:type="character" w:styleId="SubtleEmphasis">
    <w:name w:val="Subtle Emphasis"/>
    <w:uiPriority w:val="19"/>
    <w:qFormat/>
    <w:rsid w:val="00EA48E1"/>
    <w:rPr>
      <w:i/>
      <w:iCs/>
    </w:rPr>
  </w:style>
  <w:style w:type="character" w:styleId="IntenseEmphasis">
    <w:name w:val="Intense Emphasis"/>
    <w:uiPriority w:val="21"/>
    <w:qFormat/>
    <w:rsid w:val="00EA48E1"/>
    <w:rPr>
      <w:b/>
      <w:bCs/>
    </w:rPr>
  </w:style>
  <w:style w:type="character" w:styleId="SubtleReference">
    <w:name w:val="Subtle Reference"/>
    <w:uiPriority w:val="31"/>
    <w:qFormat/>
    <w:rsid w:val="00EA48E1"/>
    <w:rPr>
      <w:smallCaps/>
    </w:rPr>
  </w:style>
  <w:style w:type="character" w:styleId="IntenseReference">
    <w:name w:val="Intense Reference"/>
    <w:uiPriority w:val="32"/>
    <w:qFormat/>
    <w:rsid w:val="00EA48E1"/>
    <w:rPr>
      <w:smallCaps/>
      <w:spacing w:val="5"/>
      <w:u w:val="single"/>
    </w:rPr>
  </w:style>
  <w:style w:type="character" w:styleId="BookTitle">
    <w:name w:val="Book Title"/>
    <w:uiPriority w:val="33"/>
    <w:qFormat/>
    <w:rsid w:val="00EA48E1"/>
    <w:rPr>
      <w:i/>
      <w:iCs/>
      <w:smallCaps/>
      <w:spacing w:val="5"/>
    </w:rPr>
  </w:style>
  <w:style w:type="character" w:styleId="CommentReference">
    <w:name w:val="annotation reference"/>
    <w:basedOn w:val="DefaultParagraphFont"/>
    <w:uiPriority w:val="99"/>
    <w:semiHidden/>
    <w:unhideWhenUsed/>
    <w:rsid w:val="00876EED"/>
    <w:rPr>
      <w:sz w:val="16"/>
      <w:szCs w:val="16"/>
    </w:rPr>
  </w:style>
  <w:style w:type="paragraph" w:styleId="CommentText">
    <w:name w:val="annotation text"/>
    <w:basedOn w:val="Normal"/>
    <w:link w:val="CommentTextChar"/>
    <w:uiPriority w:val="99"/>
    <w:semiHidden/>
    <w:unhideWhenUsed/>
    <w:rsid w:val="00876EED"/>
    <w:pPr>
      <w:spacing w:line="240" w:lineRule="auto"/>
    </w:pPr>
    <w:rPr>
      <w:sz w:val="20"/>
      <w:szCs w:val="20"/>
    </w:rPr>
  </w:style>
  <w:style w:type="character" w:customStyle="1" w:styleId="CommentTextChar">
    <w:name w:val="Comment Text Char"/>
    <w:basedOn w:val="DefaultParagraphFont"/>
    <w:link w:val="CommentText"/>
    <w:uiPriority w:val="99"/>
    <w:semiHidden/>
    <w:rsid w:val="00876EED"/>
    <w:rPr>
      <w:sz w:val="20"/>
      <w:szCs w:val="20"/>
    </w:rPr>
  </w:style>
  <w:style w:type="paragraph" w:styleId="CommentSubject">
    <w:name w:val="annotation subject"/>
    <w:basedOn w:val="CommentText"/>
    <w:next w:val="CommentText"/>
    <w:link w:val="CommentSubjectChar"/>
    <w:uiPriority w:val="99"/>
    <w:semiHidden/>
    <w:unhideWhenUsed/>
    <w:rsid w:val="00876EED"/>
    <w:rPr>
      <w:b/>
      <w:bCs/>
    </w:rPr>
  </w:style>
  <w:style w:type="character" w:customStyle="1" w:styleId="CommentSubjectChar">
    <w:name w:val="Comment Subject Char"/>
    <w:basedOn w:val="CommentTextChar"/>
    <w:link w:val="CommentSubject"/>
    <w:uiPriority w:val="99"/>
    <w:semiHidden/>
    <w:rsid w:val="00876EED"/>
    <w:rPr>
      <w:b/>
      <w:bCs/>
      <w:sz w:val="20"/>
      <w:szCs w:val="20"/>
    </w:rPr>
  </w:style>
  <w:style w:type="paragraph" w:styleId="Revision">
    <w:name w:val="Revision"/>
    <w:hidden/>
    <w:uiPriority w:val="99"/>
    <w:semiHidden/>
    <w:rsid w:val="00876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821">
      <w:bodyDiv w:val="1"/>
      <w:marLeft w:val="0"/>
      <w:marRight w:val="0"/>
      <w:marTop w:val="0"/>
      <w:marBottom w:val="0"/>
      <w:divBdr>
        <w:top w:val="none" w:sz="0" w:space="0" w:color="auto"/>
        <w:left w:val="none" w:sz="0" w:space="0" w:color="auto"/>
        <w:bottom w:val="none" w:sz="0" w:space="0" w:color="auto"/>
        <w:right w:val="none" w:sz="0" w:space="0" w:color="auto"/>
      </w:divBdr>
    </w:div>
    <w:div w:id="473565909">
      <w:bodyDiv w:val="1"/>
      <w:marLeft w:val="0"/>
      <w:marRight w:val="0"/>
      <w:marTop w:val="0"/>
      <w:marBottom w:val="0"/>
      <w:divBdr>
        <w:top w:val="none" w:sz="0" w:space="0" w:color="auto"/>
        <w:left w:val="none" w:sz="0" w:space="0" w:color="auto"/>
        <w:bottom w:val="none" w:sz="0" w:space="0" w:color="auto"/>
        <w:right w:val="none" w:sz="0" w:space="0" w:color="auto"/>
      </w:divBdr>
    </w:div>
    <w:div w:id="558857173">
      <w:bodyDiv w:val="1"/>
      <w:marLeft w:val="0"/>
      <w:marRight w:val="0"/>
      <w:marTop w:val="0"/>
      <w:marBottom w:val="0"/>
      <w:divBdr>
        <w:top w:val="none" w:sz="0" w:space="0" w:color="auto"/>
        <w:left w:val="none" w:sz="0" w:space="0" w:color="auto"/>
        <w:bottom w:val="none" w:sz="0" w:space="0" w:color="auto"/>
        <w:right w:val="none" w:sz="0" w:space="0" w:color="auto"/>
      </w:divBdr>
    </w:div>
    <w:div w:id="18706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iec.gov/Geocode/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fiec.gov/Geocode/default.aspx" TargetMode="External"/><Relationship Id="rId4" Type="http://schemas.openxmlformats.org/officeDocument/2006/relationships/settings" Target="settings.xml"/><Relationship Id="rId9" Type="http://schemas.openxmlformats.org/officeDocument/2006/relationships/hyperlink" Target="http://www.ffiec.gov/Geocode/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56E2-AEEB-450E-90FF-3B9FEC55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California Department of Insurance</Company>
  <LinksUpToDate>false</LinksUpToDate>
  <CharactersWithSpaces>33126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Stephen Wenhui</dc:creator>
  <cp:lastModifiedBy>Streit, Peter</cp:lastModifiedBy>
  <cp:revision>3</cp:revision>
  <cp:lastPrinted>2014-07-11T20:09:00Z</cp:lastPrinted>
  <dcterms:created xsi:type="dcterms:W3CDTF">2017-04-20T19:31:00Z</dcterms:created>
  <dcterms:modified xsi:type="dcterms:W3CDTF">2017-04-20T19:31:00Z</dcterms:modified>
</cp:coreProperties>
</file>