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D3A" w:rsidRPr="00D86FFB" w:rsidRDefault="003340CC" w:rsidP="00D86FFB">
      <w:pPr>
        <w:pStyle w:val="Heading1"/>
        <w:tabs>
          <w:tab w:val="clear" w:pos="9360"/>
        </w:tabs>
        <w:ind w:right="54"/>
        <w:jc w:val="center"/>
        <w:rPr>
          <w:rFonts w:ascii="Arial" w:hAnsi="Arial" w:cs="Arial"/>
          <w:b/>
          <w:sz w:val="20"/>
        </w:rPr>
      </w:pPr>
      <w:r w:rsidRPr="00D86FFB">
        <w:rPr>
          <w:rFonts w:ascii="Arial" w:hAnsi="Arial" w:cs="Arial"/>
          <w:b/>
          <w:sz w:val="20"/>
        </w:rPr>
        <w:t>ATTACHMENT “</w:t>
      </w:r>
      <w:r w:rsidR="00091D3A" w:rsidRPr="00D86FFB">
        <w:rPr>
          <w:rFonts w:ascii="Arial" w:hAnsi="Arial" w:cs="Arial"/>
          <w:b/>
          <w:sz w:val="20"/>
        </w:rPr>
        <w:t>A</w:t>
      </w:r>
      <w:r w:rsidRPr="00D86FFB">
        <w:rPr>
          <w:rFonts w:ascii="Arial" w:hAnsi="Arial" w:cs="Arial"/>
          <w:b/>
          <w:sz w:val="20"/>
        </w:rPr>
        <w:t>”</w:t>
      </w:r>
    </w:p>
    <w:p w:rsidR="00091D3A" w:rsidRPr="00D86FFB" w:rsidRDefault="00091D3A" w:rsidP="00D86FFB">
      <w:pPr>
        <w:spacing w:before="240"/>
        <w:rPr>
          <w:rFonts w:ascii="Arial" w:hAnsi="Arial" w:cs="Arial"/>
        </w:rPr>
      </w:pPr>
      <w:r w:rsidRPr="00D86FFB">
        <w:rPr>
          <w:rFonts w:ascii="Arial" w:hAnsi="Arial" w:cs="Arial"/>
          <w:b/>
          <w:bCs/>
        </w:rPr>
        <w:t>Assumptions:</w:t>
      </w:r>
    </w:p>
    <w:tbl>
      <w:tblPr>
        <w:tblStyle w:val="TableGrid"/>
        <w:tblW w:w="9993" w:type="dxa"/>
        <w:tblLayout w:type="fixed"/>
        <w:tblLook w:val="04A0" w:firstRow="1" w:lastRow="0" w:firstColumn="1" w:lastColumn="0" w:noHBand="0" w:noVBand="1"/>
      </w:tblPr>
      <w:tblGrid>
        <w:gridCol w:w="1550"/>
        <w:gridCol w:w="1795"/>
        <w:gridCol w:w="1958"/>
        <w:gridCol w:w="1620"/>
        <w:gridCol w:w="1822"/>
        <w:gridCol w:w="1248"/>
      </w:tblGrid>
      <w:tr w:rsidR="00091D3A" w:rsidRPr="00D86FFB" w:rsidTr="00961527">
        <w:trPr>
          <w:trHeight w:val="264"/>
        </w:trPr>
        <w:tc>
          <w:tcPr>
            <w:tcW w:w="1550" w:type="dxa"/>
            <w:noWrap/>
            <w:hideMark/>
          </w:tcPr>
          <w:p w:rsidR="00091D3A" w:rsidRPr="00D86FFB" w:rsidRDefault="00091D3A" w:rsidP="00D86FFB">
            <w:pPr>
              <w:jc w:val="center"/>
              <w:rPr>
                <w:rFonts w:ascii="Arial" w:hAnsi="Arial" w:cs="Arial"/>
                <w:b/>
                <w:bCs/>
              </w:rPr>
            </w:pPr>
            <w:r w:rsidRPr="00D86FFB">
              <w:rPr>
                <w:rFonts w:ascii="Arial" w:hAnsi="Arial" w:cs="Arial"/>
                <w:b/>
                <w:bCs/>
              </w:rPr>
              <w:t>YEAR OF TAX</w:t>
            </w:r>
          </w:p>
        </w:tc>
        <w:tc>
          <w:tcPr>
            <w:tcW w:w="1795" w:type="dxa"/>
            <w:noWrap/>
            <w:hideMark/>
          </w:tcPr>
          <w:p w:rsidR="00091D3A" w:rsidRPr="00D86FFB" w:rsidRDefault="00091D3A" w:rsidP="00D86FFB">
            <w:pPr>
              <w:ind w:right="-12"/>
              <w:jc w:val="center"/>
              <w:rPr>
                <w:rFonts w:ascii="Arial" w:hAnsi="Arial" w:cs="Arial"/>
                <w:b/>
                <w:bCs/>
              </w:rPr>
            </w:pPr>
            <w:r w:rsidRPr="00D86FFB">
              <w:rPr>
                <w:rFonts w:ascii="Arial" w:hAnsi="Arial" w:cs="Arial"/>
                <w:b/>
                <w:bCs/>
              </w:rPr>
              <w:t>ANNUITY DEPOSITS PAID BY POLICYHOLDER</w:t>
            </w:r>
          </w:p>
        </w:tc>
        <w:tc>
          <w:tcPr>
            <w:tcW w:w="1958" w:type="dxa"/>
            <w:noWrap/>
            <w:hideMark/>
          </w:tcPr>
          <w:p w:rsidR="00091D3A" w:rsidRPr="00D86FFB" w:rsidRDefault="00091D3A" w:rsidP="00D86FFB">
            <w:pPr>
              <w:ind w:right="-102"/>
              <w:jc w:val="center"/>
              <w:rPr>
                <w:rFonts w:ascii="Arial" w:hAnsi="Arial" w:cs="Arial"/>
                <w:b/>
                <w:bCs/>
              </w:rPr>
            </w:pPr>
            <w:r w:rsidRPr="00D86FFB">
              <w:rPr>
                <w:rFonts w:ascii="Arial" w:hAnsi="Arial" w:cs="Arial"/>
                <w:b/>
                <w:bCs/>
              </w:rPr>
              <w:t>OUT OF POCKET CASH FROM POLICYHOLDER</w:t>
            </w:r>
          </w:p>
        </w:tc>
        <w:tc>
          <w:tcPr>
            <w:tcW w:w="1620" w:type="dxa"/>
            <w:noWrap/>
            <w:hideMark/>
          </w:tcPr>
          <w:p w:rsidR="00091D3A" w:rsidRPr="00D86FFB" w:rsidRDefault="00091D3A" w:rsidP="00D86FFB">
            <w:pPr>
              <w:jc w:val="center"/>
              <w:rPr>
                <w:rFonts w:ascii="Arial" w:hAnsi="Arial" w:cs="Arial"/>
                <w:b/>
                <w:bCs/>
              </w:rPr>
            </w:pPr>
            <w:r w:rsidRPr="00D86FFB">
              <w:rPr>
                <w:rFonts w:ascii="Arial" w:hAnsi="Arial" w:cs="Arial"/>
                <w:b/>
                <w:bCs/>
              </w:rPr>
              <w:t>GROSS INVESTMENT INTEREST/ DIVIDENDS</w:t>
            </w:r>
          </w:p>
        </w:tc>
        <w:tc>
          <w:tcPr>
            <w:tcW w:w="1822" w:type="dxa"/>
            <w:noWrap/>
            <w:hideMark/>
          </w:tcPr>
          <w:p w:rsidR="00091D3A" w:rsidRPr="00D86FFB" w:rsidRDefault="00091D3A" w:rsidP="00D86FFB">
            <w:pPr>
              <w:jc w:val="center"/>
              <w:rPr>
                <w:rFonts w:ascii="Arial" w:hAnsi="Arial" w:cs="Arial"/>
                <w:b/>
                <w:bCs/>
              </w:rPr>
            </w:pPr>
            <w:r w:rsidRPr="00D86FFB">
              <w:rPr>
                <w:rFonts w:ascii="Arial" w:hAnsi="Arial" w:cs="Arial"/>
                <w:b/>
                <w:bCs/>
              </w:rPr>
              <w:t>ADM. AND OTHER FEES DEDUCTED FROM POLICYHOLDER ACCOUNT</w:t>
            </w:r>
          </w:p>
        </w:tc>
        <w:tc>
          <w:tcPr>
            <w:tcW w:w="1248" w:type="dxa"/>
            <w:noWrap/>
            <w:hideMark/>
          </w:tcPr>
          <w:p w:rsidR="00091D3A" w:rsidRPr="00D86FFB" w:rsidRDefault="00091D3A" w:rsidP="00D86FFB">
            <w:pPr>
              <w:jc w:val="center"/>
              <w:rPr>
                <w:rFonts w:ascii="Arial" w:hAnsi="Arial" w:cs="Arial"/>
                <w:b/>
                <w:bCs/>
              </w:rPr>
            </w:pPr>
            <w:r w:rsidRPr="00D86FFB">
              <w:rPr>
                <w:rFonts w:ascii="Arial" w:hAnsi="Arial" w:cs="Arial"/>
                <w:b/>
                <w:bCs/>
              </w:rPr>
              <w:t>YEAR END ACCOUNT VALUE</w:t>
            </w:r>
          </w:p>
        </w:tc>
      </w:tr>
      <w:tr w:rsidR="00091D3A" w:rsidRPr="00D86FFB" w:rsidTr="00961527">
        <w:trPr>
          <w:trHeight w:val="264"/>
        </w:trPr>
        <w:tc>
          <w:tcPr>
            <w:tcW w:w="1550" w:type="dxa"/>
            <w:noWrap/>
            <w:hideMark/>
          </w:tcPr>
          <w:p w:rsidR="00091D3A" w:rsidRPr="00D86FFB" w:rsidRDefault="00091D3A" w:rsidP="001031F1">
            <w:pPr>
              <w:rPr>
                <w:rFonts w:ascii="Arial" w:hAnsi="Arial" w:cs="Arial"/>
              </w:rPr>
            </w:pPr>
            <w:r w:rsidRPr="00D86FFB">
              <w:rPr>
                <w:rFonts w:ascii="Arial" w:hAnsi="Arial" w:cs="Arial"/>
              </w:rPr>
              <w:t>Year One</w:t>
            </w:r>
          </w:p>
        </w:tc>
        <w:tc>
          <w:tcPr>
            <w:tcW w:w="1795" w:type="dxa"/>
            <w:noWrap/>
            <w:hideMark/>
          </w:tcPr>
          <w:p w:rsidR="00091D3A" w:rsidRPr="00D86FFB" w:rsidRDefault="00091D3A" w:rsidP="001031F1">
            <w:pPr>
              <w:jc w:val="right"/>
              <w:rPr>
                <w:rFonts w:ascii="Arial" w:hAnsi="Arial" w:cs="Arial"/>
              </w:rPr>
            </w:pPr>
            <w:r w:rsidRPr="00D86FFB">
              <w:rPr>
                <w:rFonts w:ascii="Arial" w:hAnsi="Arial" w:cs="Arial"/>
              </w:rPr>
              <w:t xml:space="preserve">500.00 </w:t>
            </w:r>
          </w:p>
        </w:tc>
        <w:tc>
          <w:tcPr>
            <w:tcW w:w="1958" w:type="dxa"/>
            <w:noWrap/>
            <w:hideMark/>
          </w:tcPr>
          <w:p w:rsidR="00091D3A" w:rsidRPr="00D86FFB" w:rsidRDefault="00091D3A" w:rsidP="001031F1">
            <w:pPr>
              <w:jc w:val="right"/>
              <w:rPr>
                <w:rFonts w:ascii="Arial" w:hAnsi="Arial" w:cs="Arial"/>
              </w:rPr>
            </w:pPr>
            <w:r w:rsidRPr="00D86FFB">
              <w:rPr>
                <w:rFonts w:ascii="Arial" w:hAnsi="Arial" w:cs="Arial"/>
              </w:rPr>
              <w:t> </w:t>
            </w:r>
          </w:p>
        </w:tc>
        <w:tc>
          <w:tcPr>
            <w:tcW w:w="1620" w:type="dxa"/>
            <w:noWrap/>
            <w:hideMark/>
          </w:tcPr>
          <w:p w:rsidR="00091D3A" w:rsidRPr="00D86FFB" w:rsidRDefault="00091D3A" w:rsidP="001031F1">
            <w:pPr>
              <w:jc w:val="right"/>
              <w:rPr>
                <w:rFonts w:ascii="Arial" w:hAnsi="Arial" w:cs="Arial"/>
              </w:rPr>
            </w:pPr>
            <w:r w:rsidRPr="00D86FFB">
              <w:rPr>
                <w:rFonts w:ascii="Arial" w:hAnsi="Arial" w:cs="Arial"/>
              </w:rPr>
              <w:t xml:space="preserve">50.00 </w:t>
            </w:r>
          </w:p>
        </w:tc>
        <w:tc>
          <w:tcPr>
            <w:tcW w:w="1822" w:type="dxa"/>
            <w:noWrap/>
            <w:hideMark/>
          </w:tcPr>
          <w:p w:rsidR="00091D3A" w:rsidRPr="00D86FFB" w:rsidRDefault="00091D3A" w:rsidP="001031F1">
            <w:pPr>
              <w:jc w:val="right"/>
              <w:rPr>
                <w:rFonts w:ascii="Arial" w:hAnsi="Arial" w:cs="Arial"/>
              </w:rPr>
            </w:pPr>
            <w:r w:rsidRPr="00D86FFB">
              <w:rPr>
                <w:rFonts w:ascii="Arial" w:hAnsi="Arial" w:cs="Arial"/>
              </w:rPr>
              <w:t>(100.00)</w:t>
            </w:r>
          </w:p>
        </w:tc>
        <w:tc>
          <w:tcPr>
            <w:tcW w:w="1248" w:type="dxa"/>
            <w:noWrap/>
            <w:hideMark/>
          </w:tcPr>
          <w:p w:rsidR="00091D3A" w:rsidRPr="00D86FFB" w:rsidRDefault="00091D3A" w:rsidP="001031F1">
            <w:pPr>
              <w:jc w:val="right"/>
              <w:rPr>
                <w:rFonts w:ascii="Arial" w:hAnsi="Arial" w:cs="Arial"/>
              </w:rPr>
            </w:pPr>
            <w:r w:rsidRPr="00D86FFB">
              <w:rPr>
                <w:rFonts w:ascii="Arial" w:hAnsi="Arial" w:cs="Arial"/>
              </w:rPr>
              <w:t xml:space="preserve">450.00 </w:t>
            </w:r>
          </w:p>
        </w:tc>
      </w:tr>
      <w:tr w:rsidR="00091D3A" w:rsidRPr="00D86FFB" w:rsidTr="00961527">
        <w:trPr>
          <w:trHeight w:val="264"/>
        </w:trPr>
        <w:tc>
          <w:tcPr>
            <w:tcW w:w="1550" w:type="dxa"/>
            <w:noWrap/>
            <w:hideMark/>
          </w:tcPr>
          <w:p w:rsidR="00091D3A" w:rsidRPr="00D86FFB" w:rsidRDefault="00091D3A" w:rsidP="001031F1">
            <w:pPr>
              <w:rPr>
                <w:rFonts w:ascii="Arial" w:hAnsi="Arial" w:cs="Arial"/>
              </w:rPr>
            </w:pPr>
            <w:r w:rsidRPr="00D86FFB">
              <w:rPr>
                <w:rFonts w:ascii="Arial" w:hAnsi="Arial" w:cs="Arial"/>
              </w:rPr>
              <w:t>Year Two</w:t>
            </w:r>
          </w:p>
        </w:tc>
        <w:tc>
          <w:tcPr>
            <w:tcW w:w="1795" w:type="dxa"/>
            <w:noWrap/>
            <w:hideMark/>
          </w:tcPr>
          <w:p w:rsidR="00091D3A" w:rsidRPr="00D86FFB" w:rsidRDefault="00091D3A" w:rsidP="001031F1">
            <w:pPr>
              <w:jc w:val="right"/>
              <w:rPr>
                <w:rFonts w:ascii="Arial" w:hAnsi="Arial" w:cs="Arial"/>
              </w:rPr>
            </w:pPr>
            <w:r w:rsidRPr="00D86FFB">
              <w:rPr>
                <w:rFonts w:ascii="Arial" w:hAnsi="Arial" w:cs="Arial"/>
              </w:rPr>
              <w:t xml:space="preserve">500.00 </w:t>
            </w:r>
          </w:p>
        </w:tc>
        <w:tc>
          <w:tcPr>
            <w:tcW w:w="1958" w:type="dxa"/>
            <w:noWrap/>
            <w:hideMark/>
          </w:tcPr>
          <w:p w:rsidR="00091D3A" w:rsidRPr="00D86FFB" w:rsidRDefault="00091D3A" w:rsidP="001031F1">
            <w:pPr>
              <w:jc w:val="right"/>
              <w:rPr>
                <w:rFonts w:ascii="Arial" w:hAnsi="Arial" w:cs="Arial"/>
              </w:rPr>
            </w:pPr>
            <w:r w:rsidRPr="00D86FFB">
              <w:rPr>
                <w:rFonts w:ascii="Arial" w:hAnsi="Arial" w:cs="Arial"/>
              </w:rPr>
              <w:t> </w:t>
            </w:r>
          </w:p>
        </w:tc>
        <w:tc>
          <w:tcPr>
            <w:tcW w:w="1620" w:type="dxa"/>
            <w:noWrap/>
            <w:hideMark/>
          </w:tcPr>
          <w:p w:rsidR="00091D3A" w:rsidRPr="00D86FFB" w:rsidRDefault="00091D3A" w:rsidP="001031F1">
            <w:pPr>
              <w:jc w:val="right"/>
              <w:rPr>
                <w:rFonts w:ascii="Arial" w:hAnsi="Arial" w:cs="Arial"/>
              </w:rPr>
            </w:pPr>
            <w:r w:rsidRPr="00D86FFB">
              <w:rPr>
                <w:rFonts w:ascii="Arial" w:hAnsi="Arial" w:cs="Arial"/>
              </w:rPr>
              <w:t xml:space="preserve">100.00 </w:t>
            </w:r>
          </w:p>
        </w:tc>
        <w:tc>
          <w:tcPr>
            <w:tcW w:w="1822" w:type="dxa"/>
            <w:noWrap/>
            <w:hideMark/>
          </w:tcPr>
          <w:p w:rsidR="00091D3A" w:rsidRPr="00D86FFB" w:rsidRDefault="00091D3A" w:rsidP="001031F1">
            <w:pPr>
              <w:jc w:val="right"/>
              <w:rPr>
                <w:rFonts w:ascii="Arial" w:hAnsi="Arial" w:cs="Arial"/>
              </w:rPr>
            </w:pPr>
            <w:r w:rsidRPr="00D86FFB">
              <w:rPr>
                <w:rFonts w:ascii="Arial" w:hAnsi="Arial" w:cs="Arial"/>
              </w:rPr>
              <w:t>(100.00)</w:t>
            </w:r>
          </w:p>
        </w:tc>
        <w:tc>
          <w:tcPr>
            <w:tcW w:w="1248" w:type="dxa"/>
            <w:noWrap/>
            <w:hideMark/>
          </w:tcPr>
          <w:p w:rsidR="00091D3A" w:rsidRPr="00D86FFB" w:rsidRDefault="00091D3A" w:rsidP="001031F1">
            <w:pPr>
              <w:jc w:val="right"/>
              <w:rPr>
                <w:rFonts w:ascii="Arial" w:hAnsi="Arial" w:cs="Arial"/>
              </w:rPr>
            </w:pPr>
            <w:r w:rsidRPr="00D86FFB">
              <w:rPr>
                <w:rFonts w:ascii="Arial" w:hAnsi="Arial" w:cs="Arial"/>
              </w:rPr>
              <w:t xml:space="preserve">950.00 </w:t>
            </w:r>
          </w:p>
        </w:tc>
      </w:tr>
      <w:tr w:rsidR="00091D3A" w:rsidRPr="00D86FFB" w:rsidTr="00961527">
        <w:trPr>
          <w:trHeight w:val="58"/>
        </w:trPr>
        <w:tc>
          <w:tcPr>
            <w:tcW w:w="1550" w:type="dxa"/>
            <w:noWrap/>
            <w:hideMark/>
          </w:tcPr>
          <w:p w:rsidR="00091D3A" w:rsidRPr="00D86FFB" w:rsidRDefault="00091D3A" w:rsidP="001031F1">
            <w:pPr>
              <w:rPr>
                <w:rFonts w:ascii="Arial" w:hAnsi="Arial" w:cs="Arial"/>
              </w:rPr>
            </w:pPr>
            <w:r w:rsidRPr="00D86FFB">
              <w:rPr>
                <w:rFonts w:ascii="Arial" w:hAnsi="Arial" w:cs="Arial"/>
              </w:rPr>
              <w:t>Year Three</w:t>
            </w:r>
          </w:p>
        </w:tc>
        <w:tc>
          <w:tcPr>
            <w:tcW w:w="1795" w:type="dxa"/>
            <w:noWrap/>
            <w:hideMark/>
          </w:tcPr>
          <w:p w:rsidR="00091D3A" w:rsidRPr="00D86FFB" w:rsidRDefault="00091D3A" w:rsidP="001031F1">
            <w:pPr>
              <w:jc w:val="right"/>
              <w:rPr>
                <w:rFonts w:ascii="Arial" w:hAnsi="Arial" w:cs="Arial"/>
              </w:rPr>
            </w:pPr>
            <w:r w:rsidRPr="00D86FFB">
              <w:rPr>
                <w:rFonts w:ascii="Arial" w:hAnsi="Arial" w:cs="Arial"/>
              </w:rPr>
              <w:t xml:space="preserve">500.00 </w:t>
            </w:r>
          </w:p>
        </w:tc>
        <w:tc>
          <w:tcPr>
            <w:tcW w:w="1958" w:type="dxa"/>
            <w:noWrap/>
            <w:hideMark/>
          </w:tcPr>
          <w:p w:rsidR="00091D3A" w:rsidRPr="00D86FFB" w:rsidRDefault="00091D3A" w:rsidP="001031F1">
            <w:pPr>
              <w:jc w:val="right"/>
              <w:rPr>
                <w:rFonts w:ascii="Arial" w:hAnsi="Arial" w:cs="Arial"/>
              </w:rPr>
            </w:pPr>
            <w:r w:rsidRPr="00D86FFB">
              <w:rPr>
                <w:rFonts w:ascii="Arial" w:hAnsi="Arial" w:cs="Arial"/>
              </w:rPr>
              <w:t> </w:t>
            </w:r>
          </w:p>
        </w:tc>
        <w:tc>
          <w:tcPr>
            <w:tcW w:w="1620" w:type="dxa"/>
            <w:noWrap/>
            <w:hideMark/>
          </w:tcPr>
          <w:p w:rsidR="00091D3A" w:rsidRPr="00D86FFB" w:rsidRDefault="00091D3A" w:rsidP="001031F1">
            <w:pPr>
              <w:jc w:val="right"/>
              <w:rPr>
                <w:rFonts w:ascii="Arial" w:hAnsi="Arial" w:cs="Arial"/>
              </w:rPr>
            </w:pPr>
            <w:r w:rsidRPr="00D86FFB">
              <w:rPr>
                <w:rFonts w:ascii="Arial" w:hAnsi="Arial" w:cs="Arial"/>
              </w:rPr>
              <w:t xml:space="preserve">200.00 </w:t>
            </w:r>
          </w:p>
        </w:tc>
        <w:tc>
          <w:tcPr>
            <w:tcW w:w="1822" w:type="dxa"/>
            <w:noWrap/>
            <w:hideMark/>
          </w:tcPr>
          <w:p w:rsidR="00091D3A" w:rsidRPr="00D86FFB" w:rsidRDefault="00091D3A" w:rsidP="001031F1">
            <w:pPr>
              <w:jc w:val="right"/>
              <w:rPr>
                <w:rFonts w:ascii="Arial" w:hAnsi="Arial" w:cs="Arial"/>
              </w:rPr>
            </w:pPr>
            <w:r w:rsidRPr="00D86FFB">
              <w:rPr>
                <w:rFonts w:ascii="Arial" w:hAnsi="Arial" w:cs="Arial"/>
              </w:rPr>
              <w:t>(100.00)</w:t>
            </w:r>
          </w:p>
        </w:tc>
        <w:tc>
          <w:tcPr>
            <w:tcW w:w="1248" w:type="dxa"/>
            <w:noWrap/>
            <w:hideMark/>
          </w:tcPr>
          <w:p w:rsidR="00091D3A" w:rsidRPr="00D86FFB" w:rsidRDefault="00091D3A" w:rsidP="001031F1">
            <w:pPr>
              <w:jc w:val="right"/>
              <w:rPr>
                <w:rFonts w:ascii="Arial" w:hAnsi="Arial" w:cs="Arial"/>
              </w:rPr>
            </w:pPr>
            <w:r w:rsidRPr="00D86FFB">
              <w:rPr>
                <w:rFonts w:ascii="Arial" w:hAnsi="Arial" w:cs="Arial"/>
              </w:rPr>
              <w:t xml:space="preserve">1,550.00 </w:t>
            </w:r>
          </w:p>
        </w:tc>
      </w:tr>
      <w:tr w:rsidR="00091D3A" w:rsidRPr="00D86FFB" w:rsidTr="00961527">
        <w:trPr>
          <w:trHeight w:val="264"/>
        </w:trPr>
        <w:tc>
          <w:tcPr>
            <w:tcW w:w="1550" w:type="dxa"/>
            <w:noWrap/>
            <w:hideMark/>
          </w:tcPr>
          <w:p w:rsidR="00091D3A" w:rsidRPr="00D86FFB" w:rsidRDefault="00091D3A" w:rsidP="001031F1">
            <w:pPr>
              <w:rPr>
                <w:rFonts w:ascii="Arial" w:hAnsi="Arial" w:cs="Arial"/>
              </w:rPr>
            </w:pPr>
            <w:r w:rsidRPr="00D86FFB">
              <w:rPr>
                <w:rFonts w:ascii="Arial" w:hAnsi="Arial" w:cs="Arial"/>
              </w:rPr>
              <w:t>Year Four</w:t>
            </w:r>
          </w:p>
        </w:tc>
        <w:tc>
          <w:tcPr>
            <w:tcW w:w="1795" w:type="dxa"/>
            <w:noWrap/>
            <w:hideMark/>
          </w:tcPr>
          <w:p w:rsidR="00091D3A" w:rsidRPr="00D86FFB" w:rsidRDefault="00091D3A" w:rsidP="001031F1">
            <w:pPr>
              <w:jc w:val="right"/>
              <w:rPr>
                <w:rFonts w:ascii="Arial" w:hAnsi="Arial" w:cs="Arial"/>
              </w:rPr>
            </w:pPr>
            <w:r w:rsidRPr="00D86FFB">
              <w:rPr>
                <w:rFonts w:ascii="Arial" w:hAnsi="Arial" w:cs="Arial"/>
              </w:rPr>
              <w:t xml:space="preserve">500.00 </w:t>
            </w:r>
          </w:p>
        </w:tc>
        <w:tc>
          <w:tcPr>
            <w:tcW w:w="1958" w:type="dxa"/>
            <w:noWrap/>
            <w:hideMark/>
          </w:tcPr>
          <w:p w:rsidR="00091D3A" w:rsidRPr="00D86FFB" w:rsidRDefault="00091D3A" w:rsidP="001031F1">
            <w:pPr>
              <w:jc w:val="right"/>
              <w:rPr>
                <w:rFonts w:ascii="Arial" w:hAnsi="Arial" w:cs="Arial"/>
              </w:rPr>
            </w:pPr>
            <w:r w:rsidRPr="00D86FFB">
              <w:rPr>
                <w:rFonts w:ascii="Arial" w:hAnsi="Arial" w:cs="Arial"/>
              </w:rPr>
              <w:t xml:space="preserve">1,000.00 </w:t>
            </w:r>
          </w:p>
        </w:tc>
        <w:tc>
          <w:tcPr>
            <w:tcW w:w="1620" w:type="dxa"/>
            <w:noWrap/>
            <w:hideMark/>
          </w:tcPr>
          <w:p w:rsidR="00091D3A" w:rsidRPr="00D86FFB" w:rsidRDefault="00091D3A" w:rsidP="001031F1">
            <w:pPr>
              <w:jc w:val="right"/>
              <w:rPr>
                <w:rFonts w:ascii="Arial" w:hAnsi="Arial" w:cs="Arial"/>
              </w:rPr>
            </w:pPr>
            <w:r w:rsidRPr="00D86FFB">
              <w:rPr>
                <w:rFonts w:ascii="Arial" w:hAnsi="Arial" w:cs="Arial"/>
              </w:rPr>
              <w:t xml:space="preserve">300.00 </w:t>
            </w:r>
          </w:p>
        </w:tc>
        <w:tc>
          <w:tcPr>
            <w:tcW w:w="1822" w:type="dxa"/>
            <w:noWrap/>
            <w:hideMark/>
          </w:tcPr>
          <w:p w:rsidR="00091D3A" w:rsidRPr="00D86FFB" w:rsidRDefault="00091D3A" w:rsidP="001031F1">
            <w:pPr>
              <w:jc w:val="right"/>
              <w:rPr>
                <w:rFonts w:ascii="Arial" w:hAnsi="Arial" w:cs="Arial"/>
              </w:rPr>
            </w:pPr>
            <w:r w:rsidRPr="00D86FFB">
              <w:rPr>
                <w:rFonts w:ascii="Arial" w:hAnsi="Arial" w:cs="Arial"/>
              </w:rPr>
              <w:t>(100.00)</w:t>
            </w:r>
          </w:p>
        </w:tc>
        <w:tc>
          <w:tcPr>
            <w:tcW w:w="1248" w:type="dxa"/>
            <w:noWrap/>
            <w:hideMark/>
          </w:tcPr>
          <w:p w:rsidR="00091D3A" w:rsidRPr="00D86FFB" w:rsidRDefault="00091D3A" w:rsidP="001031F1">
            <w:pPr>
              <w:jc w:val="right"/>
              <w:rPr>
                <w:rFonts w:ascii="Arial" w:hAnsi="Arial" w:cs="Arial"/>
              </w:rPr>
            </w:pPr>
            <w:r w:rsidRPr="00D86FFB">
              <w:rPr>
                <w:rFonts w:ascii="Arial" w:hAnsi="Arial" w:cs="Arial"/>
              </w:rPr>
              <w:t xml:space="preserve">3,250.00 </w:t>
            </w:r>
          </w:p>
        </w:tc>
      </w:tr>
      <w:tr w:rsidR="00091D3A" w:rsidRPr="00D86FFB" w:rsidTr="00961527">
        <w:trPr>
          <w:trHeight w:val="264"/>
        </w:trPr>
        <w:tc>
          <w:tcPr>
            <w:tcW w:w="1550" w:type="dxa"/>
            <w:noWrap/>
            <w:hideMark/>
          </w:tcPr>
          <w:p w:rsidR="00091D3A" w:rsidRPr="00D86FFB" w:rsidRDefault="00091D3A" w:rsidP="001031F1">
            <w:pPr>
              <w:rPr>
                <w:rFonts w:ascii="Arial" w:hAnsi="Arial" w:cs="Arial"/>
              </w:rPr>
            </w:pPr>
            <w:r w:rsidRPr="00D86FFB">
              <w:rPr>
                <w:rFonts w:ascii="Arial" w:hAnsi="Arial" w:cs="Arial"/>
              </w:rPr>
              <w:t>Years 5 to 20</w:t>
            </w:r>
          </w:p>
        </w:tc>
        <w:tc>
          <w:tcPr>
            <w:tcW w:w="1795" w:type="dxa"/>
            <w:noWrap/>
            <w:hideMark/>
          </w:tcPr>
          <w:p w:rsidR="00091D3A" w:rsidRPr="00D86FFB" w:rsidRDefault="00091D3A" w:rsidP="001031F1">
            <w:pPr>
              <w:jc w:val="right"/>
              <w:rPr>
                <w:rFonts w:ascii="Arial" w:hAnsi="Arial" w:cs="Arial"/>
              </w:rPr>
            </w:pPr>
            <w:r w:rsidRPr="00D86FFB">
              <w:rPr>
                <w:rFonts w:ascii="Arial" w:hAnsi="Arial" w:cs="Arial"/>
              </w:rPr>
              <w:t xml:space="preserve">8,000.00 </w:t>
            </w:r>
          </w:p>
        </w:tc>
        <w:tc>
          <w:tcPr>
            <w:tcW w:w="1958" w:type="dxa"/>
            <w:noWrap/>
            <w:hideMark/>
          </w:tcPr>
          <w:p w:rsidR="00091D3A" w:rsidRPr="00D86FFB" w:rsidRDefault="00091D3A" w:rsidP="001031F1">
            <w:pPr>
              <w:jc w:val="right"/>
              <w:rPr>
                <w:rFonts w:ascii="Arial" w:hAnsi="Arial" w:cs="Arial"/>
              </w:rPr>
            </w:pPr>
            <w:r w:rsidRPr="00D86FFB">
              <w:rPr>
                <w:rFonts w:ascii="Arial" w:hAnsi="Arial" w:cs="Arial"/>
              </w:rPr>
              <w:t> </w:t>
            </w:r>
          </w:p>
        </w:tc>
        <w:tc>
          <w:tcPr>
            <w:tcW w:w="1620" w:type="dxa"/>
            <w:noWrap/>
            <w:hideMark/>
          </w:tcPr>
          <w:p w:rsidR="00091D3A" w:rsidRPr="00D86FFB" w:rsidRDefault="00091D3A" w:rsidP="001031F1">
            <w:pPr>
              <w:jc w:val="right"/>
              <w:rPr>
                <w:rFonts w:ascii="Arial" w:hAnsi="Arial" w:cs="Arial"/>
              </w:rPr>
            </w:pPr>
            <w:r w:rsidRPr="00D86FFB">
              <w:rPr>
                <w:rFonts w:ascii="Arial" w:hAnsi="Arial" w:cs="Arial"/>
              </w:rPr>
              <w:t xml:space="preserve">19,350.00 </w:t>
            </w:r>
          </w:p>
        </w:tc>
        <w:tc>
          <w:tcPr>
            <w:tcW w:w="1822" w:type="dxa"/>
            <w:noWrap/>
            <w:hideMark/>
          </w:tcPr>
          <w:p w:rsidR="00091D3A" w:rsidRPr="00D86FFB" w:rsidRDefault="00091D3A" w:rsidP="001031F1">
            <w:pPr>
              <w:jc w:val="right"/>
              <w:rPr>
                <w:rFonts w:ascii="Arial" w:hAnsi="Arial" w:cs="Arial"/>
              </w:rPr>
            </w:pPr>
            <w:r w:rsidRPr="00D86FFB">
              <w:rPr>
                <w:rFonts w:ascii="Arial" w:hAnsi="Arial" w:cs="Arial"/>
              </w:rPr>
              <w:t xml:space="preserve"> (1,600.00)</w:t>
            </w:r>
          </w:p>
        </w:tc>
        <w:tc>
          <w:tcPr>
            <w:tcW w:w="1248" w:type="dxa"/>
            <w:noWrap/>
            <w:hideMark/>
          </w:tcPr>
          <w:p w:rsidR="00091D3A" w:rsidRPr="00D86FFB" w:rsidRDefault="00091D3A" w:rsidP="001031F1">
            <w:pPr>
              <w:jc w:val="right"/>
              <w:rPr>
                <w:rFonts w:ascii="Arial" w:hAnsi="Arial" w:cs="Arial"/>
              </w:rPr>
            </w:pPr>
            <w:r w:rsidRPr="00D86FFB">
              <w:rPr>
                <w:rFonts w:ascii="Arial" w:hAnsi="Arial" w:cs="Arial"/>
              </w:rPr>
              <w:t> </w:t>
            </w:r>
          </w:p>
        </w:tc>
      </w:tr>
      <w:tr w:rsidR="00091D3A" w:rsidRPr="00D86FFB" w:rsidTr="00961527">
        <w:trPr>
          <w:trHeight w:val="264"/>
        </w:trPr>
        <w:tc>
          <w:tcPr>
            <w:tcW w:w="1550" w:type="dxa"/>
            <w:noWrap/>
            <w:hideMark/>
          </w:tcPr>
          <w:p w:rsidR="00091D3A" w:rsidRPr="00D86FFB" w:rsidRDefault="00091D3A" w:rsidP="001031F1">
            <w:pPr>
              <w:rPr>
                <w:rFonts w:ascii="Arial" w:hAnsi="Arial" w:cs="Arial"/>
                <w:b/>
                <w:bCs/>
              </w:rPr>
            </w:pPr>
            <w:r w:rsidRPr="00D86FFB">
              <w:rPr>
                <w:rFonts w:ascii="Arial" w:hAnsi="Arial" w:cs="Arial"/>
                <w:b/>
                <w:bCs/>
              </w:rPr>
              <w:t>Total at 20 Yr.</w:t>
            </w:r>
          </w:p>
        </w:tc>
        <w:tc>
          <w:tcPr>
            <w:tcW w:w="1795" w:type="dxa"/>
            <w:noWrap/>
            <w:hideMark/>
          </w:tcPr>
          <w:p w:rsidR="00091D3A" w:rsidRPr="00D86FFB" w:rsidRDefault="00091D3A" w:rsidP="001031F1">
            <w:pPr>
              <w:jc w:val="right"/>
              <w:rPr>
                <w:rFonts w:ascii="Arial" w:hAnsi="Arial" w:cs="Arial"/>
                <w:b/>
                <w:bCs/>
              </w:rPr>
            </w:pPr>
            <w:r w:rsidRPr="00D86FFB">
              <w:rPr>
                <w:rFonts w:ascii="Arial" w:hAnsi="Arial" w:cs="Arial"/>
                <w:b/>
                <w:bCs/>
              </w:rPr>
              <w:t xml:space="preserve">10,000.00 </w:t>
            </w:r>
          </w:p>
        </w:tc>
        <w:tc>
          <w:tcPr>
            <w:tcW w:w="1958" w:type="dxa"/>
            <w:noWrap/>
            <w:hideMark/>
          </w:tcPr>
          <w:p w:rsidR="00091D3A" w:rsidRPr="00D86FFB" w:rsidRDefault="00091D3A" w:rsidP="001031F1">
            <w:pPr>
              <w:jc w:val="right"/>
              <w:rPr>
                <w:rFonts w:ascii="Arial" w:hAnsi="Arial" w:cs="Arial"/>
                <w:b/>
                <w:bCs/>
              </w:rPr>
            </w:pPr>
            <w:r w:rsidRPr="00D86FFB">
              <w:rPr>
                <w:rFonts w:ascii="Arial" w:hAnsi="Arial" w:cs="Arial"/>
                <w:b/>
                <w:bCs/>
              </w:rPr>
              <w:t xml:space="preserve">1,000.00 </w:t>
            </w:r>
          </w:p>
        </w:tc>
        <w:tc>
          <w:tcPr>
            <w:tcW w:w="1620" w:type="dxa"/>
            <w:noWrap/>
            <w:hideMark/>
          </w:tcPr>
          <w:p w:rsidR="00091D3A" w:rsidRPr="00D86FFB" w:rsidRDefault="00091D3A" w:rsidP="001031F1">
            <w:pPr>
              <w:jc w:val="right"/>
              <w:rPr>
                <w:rFonts w:ascii="Arial" w:hAnsi="Arial" w:cs="Arial"/>
                <w:b/>
                <w:bCs/>
              </w:rPr>
            </w:pPr>
            <w:r w:rsidRPr="00D86FFB">
              <w:rPr>
                <w:rFonts w:ascii="Arial" w:hAnsi="Arial" w:cs="Arial"/>
                <w:b/>
                <w:bCs/>
              </w:rPr>
              <w:t xml:space="preserve">20,000.00 </w:t>
            </w:r>
          </w:p>
        </w:tc>
        <w:tc>
          <w:tcPr>
            <w:tcW w:w="1822" w:type="dxa"/>
            <w:noWrap/>
            <w:hideMark/>
          </w:tcPr>
          <w:p w:rsidR="00091D3A" w:rsidRPr="00D86FFB" w:rsidRDefault="00091D3A" w:rsidP="001031F1">
            <w:pPr>
              <w:jc w:val="right"/>
              <w:rPr>
                <w:rFonts w:ascii="Arial" w:hAnsi="Arial" w:cs="Arial"/>
                <w:b/>
                <w:bCs/>
              </w:rPr>
            </w:pPr>
            <w:r w:rsidRPr="00D86FFB">
              <w:rPr>
                <w:rFonts w:ascii="Arial" w:hAnsi="Arial" w:cs="Arial"/>
                <w:b/>
                <w:bCs/>
              </w:rPr>
              <w:t xml:space="preserve"> (2,000.00)</w:t>
            </w:r>
          </w:p>
        </w:tc>
        <w:tc>
          <w:tcPr>
            <w:tcW w:w="1248" w:type="dxa"/>
            <w:noWrap/>
            <w:hideMark/>
          </w:tcPr>
          <w:p w:rsidR="00091D3A" w:rsidRPr="00D86FFB" w:rsidRDefault="00091D3A" w:rsidP="001031F1">
            <w:pPr>
              <w:jc w:val="right"/>
              <w:rPr>
                <w:rFonts w:ascii="Arial" w:hAnsi="Arial" w:cs="Arial"/>
                <w:b/>
                <w:bCs/>
              </w:rPr>
            </w:pPr>
            <w:r w:rsidRPr="00D86FFB">
              <w:rPr>
                <w:rFonts w:ascii="Arial" w:hAnsi="Arial" w:cs="Arial"/>
                <w:b/>
                <w:bCs/>
              </w:rPr>
              <w:t xml:space="preserve">29,000.00 </w:t>
            </w:r>
          </w:p>
        </w:tc>
      </w:tr>
    </w:tbl>
    <w:p w:rsidR="00961527" w:rsidRPr="00961527" w:rsidRDefault="00961527" w:rsidP="00961527">
      <w:pPr>
        <w:rPr>
          <w:rFonts w:ascii="Arial" w:hAnsi="Arial" w:cs="Arial"/>
          <w:b/>
        </w:rPr>
      </w:pPr>
      <w:r w:rsidRPr="00961527">
        <w:rPr>
          <w:rFonts w:ascii="Arial" w:hAnsi="Arial" w:cs="Arial"/>
          <w:b/>
        </w:rPr>
        <w:t xml:space="preserve">Note: </w:t>
      </w:r>
      <w:r w:rsidRPr="00961527">
        <w:rPr>
          <w:rFonts w:ascii="Arial" w:hAnsi="Arial" w:cs="Arial"/>
          <w:b/>
        </w:rPr>
        <w:t>$29,000.00 is applied to purchase annuity on January 1, year 21.</w:t>
      </w:r>
    </w:p>
    <w:p w:rsidR="00091D3A" w:rsidRPr="00D86FFB" w:rsidRDefault="00091D3A" w:rsidP="00D86FFB">
      <w:pPr>
        <w:spacing w:before="240"/>
        <w:rPr>
          <w:rFonts w:ascii="Arial" w:hAnsi="Arial" w:cs="Arial"/>
          <w:b/>
        </w:rPr>
      </w:pPr>
      <w:r w:rsidRPr="00D86FFB">
        <w:rPr>
          <w:rFonts w:ascii="Arial" w:hAnsi="Arial" w:cs="Arial"/>
          <w:b/>
        </w:rPr>
        <w:t>FRONT-END BASIS</w:t>
      </w:r>
    </w:p>
    <w:p w:rsidR="00091D3A" w:rsidRPr="00D86FFB" w:rsidRDefault="00091D3A" w:rsidP="00091D3A">
      <w:pPr>
        <w:pStyle w:val="ListParagraph"/>
        <w:numPr>
          <w:ilvl w:val="0"/>
          <w:numId w:val="3"/>
        </w:numPr>
        <w:spacing w:after="0"/>
        <w:rPr>
          <w:rFonts w:ascii="Arial" w:hAnsi="Arial" w:cs="Arial"/>
          <w:sz w:val="20"/>
          <w:szCs w:val="20"/>
        </w:rPr>
      </w:pPr>
      <w:r w:rsidRPr="00D86FFB">
        <w:rPr>
          <w:rFonts w:ascii="Arial" w:hAnsi="Arial" w:cs="Arial"/>
          <w:sz w:val="20"/>
          <w:szCs w:val="20"/>
        </w:rPr>
        <w:t>Premium taxes paid on $500 deposit by policyholder/insured (PH) each year from year 1 to year 20.</w:t>
      </w:r>
    </w:p>
    <w:p w:rsidR="00091D3A" w:rsidRPr="00D86FFB" w:rsidRDefault="00091D3A" w:rsidP="00091D3A">
      <w:pPr>
        <w:pStyle w:val="ListParagraph"/>
        <w:numPr>
          <w:ilvl w:val="0"/>
          <w:numId w:val="3"/>
        </w:numPr>
        <w:spacing w:after="0"/>
        <w:rPr>
          <w:rFonts w:ascii="Arial" w:hAnsi="Arial" w:cs="Arial"/>
          <w:sz w:val="20"/>
          <w:szCs w:val="20"/>
        </w:rPr>
      </w:pPr>
      <w:r w:rsidRPr="00D86FFB">
        <w:rPr>
          <w:rFonts w:ascii="Arial" w:hAnsi="Arial" w:cs="Arial"/>
          <w:sz w:val="20"/>
          <w:szCs w:val="20"/>
        </w:rPr>
        <w:t>Premium taxes paid on $1,000 in year 4 for out of pocket cash from the policyholder.</w:t>
      </w:r>
    </w:p>
    <w:p w:rsidR="00091D3A" w:rsidRPr="00D86FFB" w:rsidRDefault="00091D3A" w:rsidP="00091D3A">
      <w:pPr>
        <w:pStyle w:val="ListParagraph"/>
        <w:numPr>
          <w:ilvl w:val="0"/>
          <w:numId w:val="3"/>
        </w:numPr>
        <w:spacing w:after="0"/>
        <w:rPr>
          <w:rFonts w:ascii="Arial" w:hAnsi="Arial" w:cs="Arial"/>
          <w:sz w:val="20"/>
          <w:szCs w:val="20"/>
        </w:rPr>
      </w:pPr>
      <w:r w:rsidRPr="00D86FFB">
        <w:rPr>
          <w:rFonts w:ascii="Arial" w:hAnsi="Arial" w:cs="Arial"/>
          <w:sz w:val="20"/>
          <w:szCs w:val="20"/>
        </w:rPr>
        <w:t>Total premiums subjected to premium taxes is $11,000. ($10,000 annuity deposits and $1,000 out of pocket as paid by the policyholder.)</w:t>
      </w:r>
    </w:p>
    <w:p w:rsidR="00091D3A" w:rsidRPr="00D86FFB" w:rsidRDefault="00091D3A" w:rsidP="00091D3A">
      <w:pPr>
        <w:pStyle w:val="ListParagraph"/>
        <w:numPr>
          <w:ilvl w:val="0"/>
          <w:numId w:val="3"/>
        </w:numPr>
        <w:spacing w:after="0"/>
        <w:rPr>
          <w:rFonts w:ascii="Arial" w:hAnsi="Arial" w:cs="Arial"/>
          <w:sz w:val="20"/>
          <w:szCs w:val="20"/>
        </w:rPr>
      </w:pPr>
      <w:r w:rsidRPr="00D86FFB">
        <w:rPr>
          <w:rFonts w:ascii="Arial" w:hAnsi="Arial" w:cs="Arial"/>
          <w:sz w:val="20"/>
          <w:szCs w:val="20"/>
        </w:rPr>
        <w:t>$29,000 applied to purchase an annuity contract at the beginning of year 21 does not affect the tax base.</w:t>
      </w:r>
    </w:p>
    <w:p w:rsidR="00091D3A" w:rsidRPr="00D86FFB" w:rsidRDefault="00091D3A" w:rsidP="00091D3A">
      <w:pPr>
        <w:pStyle w:val="ListParagraph"/>
        <w:numPr>
          <w:ilvl w:val="0"/>
          <w:numId w:val="3"/>
        </w:numPr>
        <w:spacing w:after="0"/>
        <w:rPr>
          <w:rFonts w:ascii="Arial" w:hAnsi="Arial" w:cs="Arial"/>
          <w:sz w:val="20"/>
          <w:szCs w:val="20"/>
        </w:rPr>
      </w:pPr>
      <w:r w:rsidRPr="00D86FFB">
        <w:rPr>
          <w:rFonts w:ascii="Arial" w:hAnsi="Arial" w:cs="Arial"/>
          <w:sz w:val="20"/>
          <w:szCs w:val="20"/>
        </w:rPr>
        <w:t>Surrender charge reported as return premium. This amount cannot be larger than the amounts actually paid by the policyholder (PH), as annuity deposit, and out of pocket expenses.  For example, if a surrender occurs at the end of year 1 with 10% surcharge, only $405 is return premium. [($450 - ($450 X 10% = $45)] = $405.</w:t>
      </w:r>
    </w:p>
    <w:p w:rsidR="00091D3A" w:rsidRPr="00D86FFB" w:rsidRDefault="00091D3A" w:rsidP="00D86FFB">
      <w:pPr>
        <w:spacing w:before="240"/>
        <w:rPr>
          <w:rFonts w:ascii="Arial" w:hAnsi="Arial" w:cs="Arial"/>
          <w:b/>
        </w:rPr>
      </w:pPr>
      <w:r w:rsidRPr="00D86FFB">
        <w:rPr>
          <w:rFonts w:ascii="Arial" w:hAnsi="Arial" w:cs="Arial"/>
          <w:b/>
        </w:rPr>
        <w:t>BACK-END BASIS</w:t>
      </w:r>
    </w:p>
    <w:p w:rsidR="00091D3A" w:rsidRPr="00D86FFB" w:rsidRDefault="00091D3A" w:rsidP="00091D3A">
      <w:pPr>
        <w:pStyle w:val="ListParagraph"/>
        <w:numPr>
          <w:ilvl w:val="0"/>
          <w:numId w:val="4"/>
        </w:numPr>
        <w:spacing w:after="0"/>
        <w:rPr>
          <w:rFonts w:ascii="Arial" w:hAnsi="Arial" w:cs="Arial"/>
          <w:sz w:val="20"/>
          <w:szCs w:val="20"/>
        </w:rPr>
      </w:pPr>
      <w:r w:rsidRPr="00D86FFB">
        <w:rPr>
          <w:rFonts w:ascii="Arial" w:hAnsi="Arial" w:cs="Arial"/>
          <w:sz w:val="20"/>
          <w:szCs w:val="20"/>
        </w:rPr>
        <w:t>No premium taxes paid for years 1 - 20 until annuitization of contract at the beginning of year 21.</w:t>
      </w:r>
    </w:p>
    <w:p w:rsidR="00091D3A" w:rsidRPr="00D86FFB" w:rsidRDefault="00091D3A" w:rsidP="00091D3A">
      <w:pPr>
        <w:pStyle w:val="ListParagraph"/>
        <w:numPr>
          <w:ilvl w:val="0"/>
          <w:numId w:val="4"/>
        </w:numPr>
        <w:spacing w:after="0"/>
        <w:rPr>
          <w:rFonts w:ascii="Arial" w:hAnsi="Arial" w:cs="Arial"/>
          <w:sz w:val="20"/>
          <w:szCs w:val="20"/>
        </w:rPr>
      </w:pPr>
      <w:r w:rsidRPr="00826E21">
        <w:rPr>
          <w:rFonts w:ascii="Arial" w:hAnsi="Arial" w:cs="Arial"/>
          <w:b/>
          <w:sz w:val="20"/>
          <w:szCs w:val="20"/>
        </w:rPr>
        <w:t>$31,000 is taxable in year 21 for premium taxes.</w:t>
      </w:r>
      <w:r w:rsidRPr="00D86FFB">
        <w:rPr>
          <w:rFonts w:ascii="Arial" w:hAnsi="Arial" w:cs="Arial"/>
          <w:sz w:val="20"/>
          <w:szCs w:val="20"/>
        </w:rPr>
        <w:t xml:space="preserve"> ($10,000 = annuity; $1,000 = out of pocket as paid by the policyholder; $20,000 = interest, dividends, and investment.)</w:t>
      </w:r>
    </w:p>
    <w:p w:rsidR="00091D3A" w:rsidRPr="00D86FFB" w:rsidRDefault="00091D3A" w:rsidP="00091D3A">
      <w:pPr>
        <w:pStyle w:val="ListParagraph"/>
        <w:numPr>
          <w:ilvl w:val="0"/>
          <w:numId w:val="4"/>
        </w:numPr>
        <w:spacing w:after="0"/>
        <w:rPr>
          <w:rFonts w:ascii="Arial" w:hAnsi="Arial" w:cs="Arial"/>
          <w:sz w:val="20"/>
          <w:szCs w:val="20"/>
        </w:rPr>
      </w:pPr>
      <w:r w:rsidRPr="00D86FFB">
        <w:rPr>
          <w:rFonts w:ascii="Arial" w:hAnsi="Arial" w:cs="Arial"/>
          <w:sz w:val="20"/>
          <w:szCs w:val="20"/>
        </w:rPr>
        <w:t>Surrender fees are not taxable if entire account value is surrendered prior to annuitization.</w:t>
      </w:r>
    </w:p>
    <w:p w:rsidR="00091D3A" w:rsidRPr="00D86FFB" w:rsidRDefault="00091D3A" w:rsidP="00091D3A">
      <w:pPr>
        <w:pStyle w:val="ListParagraph"/>
        <w:numPr>
          <w:ilvl w:val="0"/>
          <w:numId w:val="4"/>
        </w:numPr>
        <w:spacing w:after="0"/>
        <w:rPr>
          <w:rFonts w:ascii="Arial" w:hAnsi="Arial" w:cs="Arial"/>
          <w:sz w:val="20"/>
          <w:szCs w:val="20"/>
        </w:rPr>
      </w:pPr>
      <w:r w:rsidRPr="00D86FFB">
        <w:rPr>
          <w:rFonts w:ascii="Arial" w:hAnsi="Arial" w:cs="Arial"/>
          <w:sz w:val="20"/>
          <w:szCs w:val="20"/>
        </w:rPr>
        <w:t xml:space="preserve">$29,000 applied to purchase annuity at start of year 21.  </w:t>
      </w:r>
      <w:r w:rsidRPr="00826E21">
        <w:rPr>
          <w:rFonts w:ascii="Arial" w:hAnsi="Arial" w:cs="Arial"/>
          <w:b/>
          <w:sz w:val="20"/>
          <w:szCs w:val="20"/>
        </w:rPr>
        <w:t>This is not the taxable amount.</w:t>
      </w:r>
      <w:r w:rsidRPr="00D86FFB">
        <w:rPr>
          <w:rFonts w:ascii="Arial" w:hAnsi="Arial" w:cs="Arial"/>
          <w:sz w:val="20"/>
          <w:szCs w:val="20"/>
        </w:rPr>
        <w:t xml:space="preserve">  See #2 for taxable amount for premium taxes.</w:t>
      </w:r>
    </w:p>
    <w:p w:rsidR="003340CC" w:rsidRPr="00D86FFB" w:rsidRDefault="003340CC">
      <w:pPr>
        <w:pStyle w:val="BodyText2"/>
        <w:rPr>
          <w:rFonts w:ascii="Arial" w:hAnsi="Arial" w:cs="Arial"/>
          <w:b w:val="0"/>
          <w:sz w:val="20"/>
        </w:rPr>
      </w:pPr>
      <w:bookmarkStart w:id="0" w:name="_GoBack"/>
      <w:bookmarkEnd w:id="0"/>
    </w:p>
    <w:sectPr w:rsidR="003340CC" w:rsidRPr="00D86FFB" w:rsidSect="007F4279">
      <w:headerReference w:type="default" r:id="rId8"/>
      <w:footerReference w:type="even" r:id="rId9"/>
      <w:footerReference w:type="default" r:id="rId10"/>
      <w:pgSz w:w="12240" w:h="15840"/>
      <w:pgMar w:top="720" w:right="1008" w:bottom="1440" w:left="1008" w:header="36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A17" w:rsidRDefault="005F3A17">
      <w:r>
        <w:separator/>
      </w:r>
    </w:p>
  </w:endnote>
  <w:endnote w:type="continuationSeparator" w:id="0">
    <w:p w:rsidR="005F3A17" w:rsidRDefault="005F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Default="00475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0BF" w:rsidRDefault="00475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Default="004750BF" w:rsidP="007F4279">
    <w:pPr>
      <w:pStyle w:val="zzTrailerDocName"/>
    </w:pPr>
    <w:r w:rsidRPr="007F4279">
      <w:t>Page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091D3A">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91D3A">
      <w:rPr>
        <w:noProof/>
        <w:snapToGrid w:val="0"/>
      </w:rPr>
      <w: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A17" w:rsidRDefault="005F3A17">
      <w:r>
        <w:separator/>
      </w:r>
    </w:p>
  </w:footnote>
  <w:footnote w:type="continuationSeparator" w:id="0">
    <w:p w:rsidR="005F3A17" w:rsidRDefault="005F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BF" w:rsidRPr="00D86FFB" w:rsidRDefault="004750BF" w:rsidP="00D86FFB">
    <w:pPr>
      <w:pStyle w:val="Header"/>
      <w:tabs>
        <w:tab w:val="clear" w:pos="4320"/>
        <w:tab w:val="clear" w:pos="8640"/>
        <w:tab w:val="left" w:pos="7920"/>
      </w:tabs>
      <w:rPr>
        <w:rFonts w:ascii="Arial" w:hAnsi="Arial"/>
        <w:sz w:val="18"/>
        <w:szCs w:val="18"/>
      </w:rPr>
    </w:pPr>
    <w:r w:rsidRPr="00D86FFB">
      <w:rPr>
        <w:rFonts w:ascii="Arial" w:hAnsi="Arial"/>
        <w:sz w:val="18"/>
        <w:szCs w:val="18"/>
      </w:rPr>
      <w:t xml:space="preserve">State of California </w:t>
    </w:r>
    <w:r w:rsidRPr="00D86FFB">
      <w:rPr>
        <w:rFonts w:ascii="Arial" w:hAnsi="Arial"/>
        <w:sz w:val="18"/>
        <w:szCs w:val="18"/>
      </w:rPr>
      <w:tab/>
      <w:t>Department of Insurance</w:t>
    </w:r>
  </w:p>
  <w:p w:rsidR="004750BF" w:rsidRPr="00D86FFB" w:rsidRDefault="004750BF">
    <w:pPr>
      <w:pStyle w:val="Header"/>
      <w:rPr>
        <w:rFonts w:ascii="Arial" w:hAnsi="Arial"/>
        <w:b/>
        <w:color w:val="000000"/>
        <w:sz w:val="18"/>
        <w:szCs w:val="18"/>
      </w:rPr>
    </w:pPr>
    <w:r w:rsidRPr="00D86FFB">
      <w:rPr>
        <w:rFonts w:ascii="Arial" w:hAnsi="Arial"/>
        <w:b/>
        <w:color w:val="000000"/>
        <w:sz w:val="18"/>
        <w:szCs w:val="18"/>
      </w:rPr>
      <w:t>LIFE COMPANIES INCLUDING ACCIDENT AND HEALTH INSURANCE TAX RETURN</w:t>
    </w:r>
  </w:p>
  <w:p w:rsidR="004750BF" w:rsidRPr="00D86FFB" w:rsidRDefault="004750BF">
    <w:pPr>
      <w:pStyle w:val="Header"/>
      <w:rPr>
        <w:rFonts w:ascii="Arial" w:hAnsi="Arial"/>
        <w:sz w:val="18"/>
        <w:szCs w:val="18"/>
      </w:rPr>
    </w:pPr>
    <w:r w:rsidRPr="00D86FFB">
      <w:rPr>
        <w:rFonts w:ascii="Arial" w:hAnsi="Arial"/>
        <w:sz w:val="18"/>
        <w:szCs w:val="18"/>
      </w:rPr>
      <w:t xml:space="preserve">CDI FS-002 (REV </w:t>
    </w:r>
    <w:r w:rsidR="007F4279" w:rsidRPr="00D86FFB">
      <w:rPr>
        <w:rFonts w:ascii="Arial" w:hAnsi="Arial"/>
        <w:sz w:val="18"/>
        <w:szCs w:val="18"/>
      </w:rPr>
      <w:t>10</w:t>
    </w:r>
    <w:r w:rsidR="00C65A41" w:rsidRPr="00D86FFB">
      <w:rPr>
        <w:rFonts w:ascii="Arial" w:hAnsi="Arial"/>
        <w:sz w:val="18"/>
        <w:szCs w:val="18"/>
      </w:rPr>
      <w:t>/201</w:t>
    </w:r>
    <w:r w:rsidR="00D86FFB" w:rsidRPr="00D86FFB">
      <w:rPr>
        <w:rFonts w:ascii="Arial" w:hAnsi="Arial"/>
        <w:sz w:val="18"/>
        <w:szCs w:val="18"/>
      </w:rPr>
      <w:t>9</w:t>
    </w:r>
    <w:r w:rsidRPr="00D86FFB">
      <w:rPr>
        <w:rFonts w:ascii="Arial" w:hAnsi="Arial"/>
        <w:sz w:val="18"/>
        <w:szCs w:val="18"/>
      </w:rPr>
      <w:t>)</w:t>
    </w:r>
  </w:p>
  <w:p w:rsidR="004750BF" w:rsidRPr="00D86FFB" w:rsidRDefault="004750B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7D2D"/>
    <w:multiLevelType w:val="singleLevel"/>
    <w:tmpl w:val="0C30064A"/>
    <w:lvl w:ilvl="0">
      <w:start w:val="1"/>
      <w:numFmt w:val="upperLetter"/>
      <w:lvlText w:val="%1."/>
      <w:lvlJc w:val="left"/>
      <w:pPr>
        <w:tabs>
          <w:tab w:val="num" w:pos="720"/>
        </w:tabs>
        <w:ind w:left="720" w:hanging="720"/>
      </w:pPr>
      <w:rPr>
        <w:rFonts w:hint="default"/>
      </w:rPr>
    </w:lvl>
  </w:abstractNum>
  <w:abstractNum w:abstractNumId="1" w15:restartNumberingAfterBreak="0">
    <w:nsid w:val="42EC1333"/>
    <w:multiLevelType w:val="hybridMultilevel"/>
    <w:tmpl w:val="3E443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A4ADD"/>
    <w:multiLevelType w:val="hybridMultilevel"/>
    <w:tmpl w:val="170C7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E378F3"/>
    <w:multiLevelType w:val="hybridMultilevel"/>
    <w:tmpl w:val="C944CBC0"/>
    <w:lvl w:ilvl="0" w:tplc="3FBEB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3340CC"/>
    <w:rsid w:val="0006240E"/>
    <w:rsid w:val="00091D3A"/>
    <w:rsid w:val="000E3E12"/>
    <w:rsid w:val="00133AF2"/>
    <w:rsid w:val="00135BD1"/>
    <w:rsid w:val="00181C00"/>
    <w:rsid w:val="0018409D"/>
    <w:rsid w:val="0023062C"/>
    <w:rsid w:val="0023539E"/>
    <w:rsid w:val="002C18CF"/>
    <w:rsid w:val="002C210A"/>
    <w:rsid w:val="002E1083"/>
    <w:rsid w:val="002E5D60"/>
    <w:rsid w:val="00301F08"/>
    <w:rsid w:val="003340CC"/>
    <w:rsid w:val="003A2397"/>
    <w:rsid w:val="003C775C"/>
    <w:rsid w:val="003D788A"/>
    <w:rsid w:val="0042604A"/>
    <w:rsid w:val="004325FE"/>
    <w:rsid w:val="00474654"/>
    <w:rsid w:val="004750BF"/>
    <w:rsid w:val="005356B7"/>
    <w:rsid w:val="005F3A17"/>
    <w:rsid w:val="006506BF"/>
    <w:rsid w:val="006F4413"/>
    <w:rsid w:val="00721845"/>
    <w:rsid w:val="00745A85"/>
    <w:rsid w:val="00766DAA"/>
    <w:rsid w:val="007D2B41"/>
    <w:rsid w:val="007F4279"/>
    <w:rsid w:val="00826E21"/>
    <w:rsid w:val="00830F77"/>
    <w:rsid w:val="008825B5"/>
    <w:rsid w:val="008C2C33"/>
    <w:rsid w:val="00915888"/>
    <w:rsid w:val="00961527"/>
    <w:rsid w:val="0096770E"/>
    <w:rsid w:val="00987FFE"/>
    <w:rsid w:val="009D77E8"/>
    <w:rsid w:val="00A40FD3"/>
    <w:rsid w:val="00A54F98"/>
    <w:rsid w:val="00A71291"/>
    <w:rsid w:val="00A844DE"/>
    <w:rsid w:val="00A90606"/>
    <w:rsid w:val="00AF29FE"/>
    <w:rsid w:val="00B3555C"/>
    <w:rsid w:val="00BA1103"/>
    <w:rsid w:val="00BC479B"/>
    <w:rsid w:val="00C10080"/>
    <w:rsid w:val="00C65A41"/>
    <w:rsid w:val="00C87701"/>
    <w:rsid w:val="00CD5F41"/>
    <w:rsid w:val="00CF7359"/>
    <w:rsid w:val="00D17364"/>
    <w:rsid w:val="00D2475E"/>
    <w:rsid w:val="00D32C5A"/>
    <w:rsid w:val="00D86FFB"/>
    <w:rsid w:val="00D96EC2"/>
    <w:rsid w:val="00DC3451"/>
    <w:rsid w:val="00E057D5"/>
    <w:rsid w:val="00E63E62"/>
    <w:rsid w:val="00E942C2"/>
    <w:rsid w:val="00EC6402"/>
    <w:rsid w:val="00F00201"/>
    <w:rsid w:val="00F6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275854"/>
  <w15:docId w15:val="{8A9FB3B2-A73D-4834-A71D-D1585855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9360"/>
      </w:tabs>
      <w:ind w:right="-1195"/>
      <w:outlineLvl w:val="0"/>
    </w:pPr>
    <w:rPr>
      <w:rFonts w:ascii="Lucida Handwriting" w:hAnsi="Lucida Handwriting"/>
      <w:sz w:val="24"/>
    </w:rPr>
  </w:style>
  <w:style w:type="paragraph" w:styleId="Heading2">
    <w:name w:val="heading 2"/>
    <w:basedOn w:val="Normal"/>
    <w:next w:val="Normal"/>
    <w:qFormat/>
    <w:pPr>
      <w:keepNext/>
      <w:ind w:left="-1170" w:right="-925"/>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odyText2">
    <w:name w:val="Body Text 2"/>
    <w:basedOn w:val="Normal"/>
    <w:link w:val="BodyText2Char"/>
    <w:pPr>
      <w:jc w:val="center"/>
    </w:pPr>
    <w:rPr>
      <w:b/>
      <w:sz w:val="28"/>
    </w:rPr>
  </w:style>
  <w:style w:type="paragraph" w:styleId="BodyTextIndent">
    <w:name w:val="Body Text Indent"/>
    <w:basedOn w:val="Normal"/>
    <w:pPr>
      <w:ind w:left="720"/>
    </w:pPr>
    <w:rPr>
      <w:sz w:val="24"/>
    </w:rPr>
  </w:style>
  <w:style w:type="paragraph" w:styleId="BlockText">
    <w:name w:val="Block Text"/>
    <w:basedOn w:val="Normal"/>
    <w:pPr>
      <w:tabs>
        <w:tab w:val="left" w:pos="9360"/>
      </w:tabs>
      <w:ind w:left="720" w:right="414"/>
    </w:pPr>
    <w:rPr>
      <w:sz w:val="24"/>
    </w:rPr>
  </w:style>
  <w:style w:type="paragraph" w:styleId="BodyText3">
    <w:name w:val="Body Text 3"/>
    <w:basedOn w:val="Normal"/>
    <w:pPr>
      <w:tabs>
        <w:tab w:val="left" w:pos="8910"/>
      </w:tabs>
      <w:ind w:right="504"/>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750BF"/>
    <w:rPr>
      <w:rFonts w:ascii="Tahoma" w:hAnsi="Tahoma" w:cs="Tahoma"/>
      <w:sz w:val="16"/>
      <w:szCs w:val="16"/>
    </w:rPr>
  </w:style>
  <w:style w:type="character" w:customStyle="1" w:styleId="BalloonTextChar">
    <w:name w:val="Balloon Text Char"/>
    <w:link w:val="BalloonText"/>
    <w:rsid w:val="004750BF"/>
    <w:rPr>
      <w:rFonts w:ascii="Tahoma" w:hAnsi="Tahoma" w:cs="Tahoma"/>
      <w:sz w:val="16"/>
      <w:szCs w:val="16"/>
    </w:rPr>
  </w:style>
  <w:style w:type="paragraph" w:styleId="Revision">
    <w:name w:val="Revision"/>
    <w:hidden/>
    <w:uiPriority w:val="99"/>
    <w:semiHidden/>
    <w:rsid w:val="00A71291"/>
  </w:style>
  <w:style w:type="paragraph" w:customStyle="1" w:styleId="zzTrailerDocName">
    <w:name w:val="zzTrailerDocName"/>
    <w:basedOn w:val="BodyText2"/>
    <w:link w:val="zzTrailerDocNameChar"/>
    <w:rsid w:val="00C10080"/>
    <w:pPr>
      <w:jc w:val="left"/>
    </w:pPr>
    <w:rPr>
      <w:rFonts w:ascii="Arial" w:hAnsi="Arial" w:cs="Arial"/>
      <w:b w:val="0"/>
      <w:sz w:val="16"/>
    </w:rPr>
  </w:style>
  <w:style w:type="character" w:customStyle="1" w:styleId="BodyText2Char">
    <w:name w:val="Body Text 2 Char"/>
    <w:link w:val="BodyText2"/>
    <w:rsid w:val="00C10080"/>
    <w:rPr>
      <w:b/>
      <w:sz w:val="28"/>
    </w:rPr>
  </w:style>
  <w:style w:type="character" w:customStyle="1" w:styleId="zzTrailerDocNameChar">
    <w:name w:val="zzTrailerDocName Char"/>
    <w:link w:val="zzTrailerDocName"/>
    <w:rsid w:val="00C10080"/>
    <w:rPr>
      <w:rFonts w:ascii="Arial" w:hAnsi="Arial" w:cs="Arial"/>
      <w:b w:val="0"/>
      <w:sz w:val="16"/>
    </w:rPr>
  </w:style>
  <w:style w:type="paragraph" w:styleId="ListParagraph">
    <w:name w:val="List Paragraph"/>
    <w:basedOn w:val="Normal"/>
    <w:uiPriority w:val="34"/>
    <w:qFormat/>
    <w:rsid w:val="00091D3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96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DC52-2548-4905-B67D-E456A322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2019 LIFE COMPANIES INCLUDING ACCIDENT AND HEALTH INSURANCE TAX RETURN ATTACHMENT B</vt:lpstr>
    </vt:vector>
  </TitlesOfParts>
  <Company>Dept. of Insurance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LIFE COMPANIES INCLUDING ACCIDENT AND HEALTH INSURANCE TAX RETURN ATTACHMENT B</dc:title>
  <dc:creator>Department of Insurance</dc:creator>
  <cp:keywords>CDI FS-002 REPORTING TAXABLE ANNUITY CONSIDERATIONS</cp:keywords>
  <cp:lastModifiedBy>Yan, Mimi</cp:lastModifiedBy>
  <cp:revision>6</cp:revision>
  <cp:lastPrinted>2018-10-09T17:43:00Z</cp:lastPrinted>
  <dcterms:created xsi:type="dcterms:W3CDTF">2019-06-21T21:30:00Z</dcterms:created>
  <dcterms:modified xsi:type="dcterms:W3CDTF">2019-12-06T20:16:00Z</dcterms:modified>
</cp:coreProperties>
</file>